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45A" w:rsidRDefault="00B7745A" w:rsidP="00B7745A">
      <w:pPr>
        <w:pStyle w:val="a7"/>
        <w:numPr>
          <w:ilvl w:val="0"/>
          <w:numId w:val="1"/>
        </w:numPr>
        <w:ind w:leftChars="0"/>
        <w:rPr>
          <w:rFonts w:ascii="標楷體" w:eastAsia="標楷體" w:hAnsi="標楷體"/>
          <w:sz w:val="28"/>
          <w:szCs w:val="28"/>
        </w:rPr>
      </w:pPr>
      <w:bookmarkStart w:id="0" w:name="_GoBack"/>
      <w:bookmarkEnd w:id="0"/>
      <w:r>
        <w:rPr>
          <w:rFonts w:ascii="標楷體" w:eastAsia="標楷體" w:hAnsi="標楷體" w:hint="eastAsia"/>
          <w:sz w:val="28"/>
          <w:szCs w:val="28"/>
        </w:rPr>
        <w:t>納稅義務人年度中死亡如何辦理綜所稅結算申報</w:t>
      </w:r>
    </w:p>
    <w:p w:rsidR="00B7745A" w:rsidRDefault="00B7745A" w:rsidP="00B7745A">
      <w:pPr>
        <w:rPr>
          <w:rFonts w:ascii="標楷體" w:eastAsia="標楷體" w:hAnsi="標楷體"/>
          <w:sz w:val="28"/>
          <w:szCs w:val="28"/>
        </w:rPr>
      </w:pPr>
      <w:r w:rsidRPr="001858CB">
        <w:rPr>
          <w:rFonts w:ascii="標楷體" w:eastAsia="標楷體" w:hAnsi="標楷體" w:hint="eastAsia"/>
          <w:sz w:val="28"/>
          <w:szCs w:val="28"/>
        </w:rPr>
        <w:t>實例解析:</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強哥用手壓著被砍傷的左手，在巷子裡面奔跑，後面不時傳來陣陣的叫吶聲，強哥邊跑遍罵:他xx早知道就不要亂把妹，把到大哥的女人。強哥身材高大長相又相當帥氣，所以從小身邊桃花不斷，加上強哥的老家是開國術館的，所以強哥從小就身強體壯相當能打，因此強哥國中一畢業就被當地的黑社會吸收去當打手，因此練就了他天不怕地不怕性格。一個月前強哥在一個聚會中認識了年輕漂亮的阿萍，兩人很快地陷入了熱戀，在阿萍生日當天強哥帶著阿萍去夜市慶生，忽然衝出一群手持西瓜刀的笑年仔，拿著刀就往強哥身上砍，強哥被砍得莫名其妙，邊跑邊喊:你們認錯人了！強哥只聽到那群人喊著:就是他碰大哥輝的女人，他x的砍死他。這時候強哥才知道自己犯下了大錯，強哥躲到巷子了的一個廚餘桶裡面，心想:埋在廚餘裡應該不會被發現才對。過了30分鐘強哥滿身臭味的從廚餘桶爬了出來，慢慢地走出暗巷。沒想到一出暗巷就被亂刀砍死了。由於強哥過世之後，強哥家頓時失去了經濟依靠，強哥的兒子從學校回來告訴媽媽，爸爸過世了好像要在過世後3-6個月申報爸爸的綜所稅，強嫂卻認為要在次年5月份才申報，強嫂為了這件事情開了一個家庭會議，討論強哥的綜所稅到底要怎麼申報呢？</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延伸問題</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1.如果強哥前一個年度是給子女列報撫養親屬，請問申報的時間與扣除額是否應該比例計算？</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2.如果強哥是扶養自己的子女那麼申報的時間與扣除額又是要如何計算？</w:t>
      </w:r>
    </w:p>
    <w:p w:rsidR="00B92A1C" w:rsidRDefault="00B92A1C"/>
    <w:p w:rsidR="00B7745A" w:rsidRPr="00E06647" w:rsidRDefault="00B7745A" w:rsidP="00B7745A">
      <w:pPr>
        <w:pStyle w:val="a7"/>
        <w:ind w:leftChars="0" w:left="0"/>
        <w:rPr>
          <w:rFonts w:ascii="標楷體" w:eastAsia="標楷體" w:hAnsi="標楷體"/>
          <w:sz w:val="26"/>
          <w:szCs w:val="26"/>
        </w:rPr>
      </w:pPr>
      <w:r w:rsidRPr="00E06647">
        <w:rPr>
          <w:rFonts w:ascii="標楷體" w:eastAsia="標楷體" w:hAnsi="標楷體" w:hint="eastAsia"/>
          <w:sz w:val="26"/>
          <w:szCs w:val="26"/>
        </w:rPr>
        <w:t>法律關係研析:</w:t>
      </w:r>
    </w:p>
    <w:p w:rsidR="00B7745A" w:rsidRDefault="00B7745A" w:rsidP="00B7745A">
      <w:pPr>
        <w:pStyle w:val="HTML"/>
        <w:numPr>
          <w:ilvl w:val="0"/>
          <w:numId w:val="2"/>
        </w:numPr>
        <w:tabs>
          <w:tab w:val="clear" w:pos="916"/>
          <w:tab w:val="left" w:pos="400"/>
        </w:tabs>
        <w:rPr>
          <w:rFonts w:ascii="標楷體" w:eastAsia="標楷體" w:hAnsi="標楷體"/>
          <w:sz w:val="26"/>
          <w:szCs w:val="26"/>
        </w:rPr>
      </w:pPr>
      <w:r>
        <w:rPr>
          <w:rFonts w:ascii="標楷體" w:eastAsia="標楷體" w:hAnsi="標楷體" w:hint="eastAsia"/>
          <w:sz w:val="26"/>
          <w:szCs w:val="26"/>
        </w:rPr>
        <w:t>所得稅法第15條</w:t>
      </w:r>
    </w:p>
    <w:p w:rsidR="00B7745A" w:rsidRPr="009502F1" w:rsidRDefault="00B7745A" w:rsidP="00B7745A">
      <w:pPr>
        <w:pStyle w:val="HTML"/>
        <w:rPr>
          <w:rFonts w:ascii="標楷體" w:eastAsia="標楷體" w:hAnsi="標楷體"/>
          <w:sz w:val="26"/>
          <w:szCs w:val="26"/>
        </w:rPr>
      </w:pPr>
      <w:r>
        <w:rPr>
          <w:rFonts w:ascii="標楷體" w:eastAsia="標楷體" w:hAnsi="標楷體" w:hint="eastAsia"/>
          <w:sz w:val="26"/>
          <w:szCs w:val="26"/>
        </w:rPr>
        <w:tab/>
        <w:t xml:space="preserve">  </w:t>
      </w:r>
      <w:r w:rsidRPr="009502F1">
        <w:rPr>
          <w:rFonts w:ascii="標楷體" w:eastAsia="標楷體" w:hAnsi="標楷體" w:hint="eastAsia"/>
          <w:sz w:val="26"/>
          <w:szCs w:val="26"/>
        </w:rPr>
        <w:t>納稅義務人之配偶，及合於第十七條規定得申報減除扶養親屬</w:t>
      </w:r>
      <w:r>
        <w:rPr>
          <w:rFonts w:ascii="標楷體" w:eastAsia="標楷體" w:hAnsi="標楷體" w:hint="eastAsia"/>
          <w:sz w:val="26"/>
          <w:szCs w:val="26"/>
        </w:rPr>
        <w:tab/>
        <w:t xml:space="preserve"> </w:t>
      </w:r>
      <w:r>
        <w:rPr>
          <w:rFonts w:ascii="標楷體" w:eastAsia="標楷體" w:hAnsi="標楷體" w:hint="eastAsia"/>
          <w:sz w:val="26"/>
          <w:szCs w:val="26"/>
        </w:rPr>
        <w:tab/>
        <w:t xml:space="preserve">  </w:t>
      </w:r>
      <w:r w:rsidRPr="009502F1">
        <w:rPr>
          <w:rFonts w:ascii="標楷體" w:eastAsia="標楷體" w:hAnsi="標楷體" w:hint="eastAsia"/>
          <w:sz w:val="26"/>
          <w:szCs w:val="26"/>
        </w:rPr>
        <w:t>免稅額之受扶養親屬，有前條各類所得者，</w:t>
      </w:r>
      <w:r w:rsidRPr="009502F1">
        <w:rPr>
          <w:rFonts w:ascii="標楷體" w:eastAsia="標楷體" w:hAnsi="標楷體" w:hint="eastAsia"/>
          <w:b/>
          <w:sz w:val="26"/>
          <w:szCs w:val="26"/>
        </w:rPr>
        <w:t>應由納稅義務人合</w:t>
      </w:r>
      <w:r>
        <w:rPr>
          <w:rFonts w:ascii="標楷體" w:eastAsia="標楷體" w:hAnsi="標楷體" w:hint="eastAsia"/>
          <w:b/>
          <w:sz w:val="26"/>
          <w:szCs w:val="26"/>
        </w:rPr>
        <w:tab/>
        <w:t xml:space="preserve">  </w:t>
      </w:r>
      <w:r>
        <w:rPr>
          <w:rFonts w:ascii="標楷體" w:eastAsia="標楷體" w:hAnsi="標楷體" w:hint="eastAsia"/>
          <w:b/>
          <w:sz w:val="26"/>
          <w:szCs w:val="26"/>
        </w:rPr>
        <w:tab/>
        <w:t xml:space="preserve">  </w:t>
      </w:r>
      <w:r w:rsidRPr="009502F1">
        <w:rPr>
          <w:rFonts w:ascii="標楷體" w:eastAsia="標楷體" w:hAnsi="標楷體" w:hint="eastAsia"/>
          <w:b/>
          <w:sz w:val="26"/>
          <w:szCs w:val="26"/>
        </w:rPr>
        <w:t>併報繳</w:t>
      </w:r>
      <w:r w:rsidRPr="009502F1">
        <w:rPr>
          <w:rFonts w:ascii="標楷體" w:eastAsia="標楷體" w:hAnsi="標楷體" w:hint="eastAsia"/>
          <w:sz w:val="26"/>
          <w:szCs w:val="26"/>
        </w:rPr>
        <w:t>。納稅義務人主</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ab/>
        <w:t xml:space="preserve">  </w:t>
      </w:r>
      <w:r w:rsidRPr="009502F1">
        <w:rPr>
          <w:rFonts w:ascii="標楷體" w:eastAsia="標楷體" w:hAnsi="標楷體" w:hint="eastAsia"/>
          <w:sz w:val="26"/>
          <w:szCs w:val="26"/>
        </w:rPr>
        <w:t>體一經選定，得於該申報年度結算申報期間屆滿後六個月內申</w:t>
      </w:r>
      <w:r>
        <w:rPr>
          <w:rFonts w:ascii="標楷體" w:eastAsia="標楷體" w:hAnsi="標楷體" w:hint="eastAsia"/>
          <w:sz w:val="26"/>
          <w:szCs w:val="26"/>
        </w:rPr>
        <w:tab/>
        <w:t xml:space="preserve">  </w:t>
      </w:r>
      <w:r>
        <w:rPr>
          <w:rFonts w:ascii="標楷體" w:eastAsia="標楷體" w:hAnsi="標楷體" w:hint="eastAsia"/>
          <w:sz w:val="26"/>
          <w:szCs w:val="26"/>
        </w:rPr>
        <w:tab/>
        <w:t xml:space="preserve">  </w:t>
      </w:r>
      <w:r w:rsidRPr="009502F1">
        <w:rPr>
          <w:rFonts w:ascii="標楷體" w:eastAsia="標楷體" w:hAnsi="標楷體" w:hint="eastAsia"/>
          <w:sz w:val="26"/>
          <w:szCs w:val="26"/>
        </w:rPr>
        <w:t>請變更。</w:t>
      </w:r>
    </w:p>
    <w:p w:rsidR="00B7745A" w:rsidRDefault="00B7745A"/>
    <w:p w:rsidR="00B7745A" w:rsidRDefault="00B7745A" w:rsidP="00B7745A">
      <w:pPr>
        <w:pStyle w:val="HTML"/>
        <w:numPr>
          <w:ilvl w:val="0"/>
          <w:numId w:val="2"/>
        </w:numPr>
        <w:tabs>
          <w:tab w:val="clear" w:pos="916"/>
          <w:tab w:val="left" w:pos="400"/>
        </w:tabs>
        <w:rPr>
          <w:rFonts w:ascii="標楷體" w:eastAsia="標楷體" w:hAnsi="標楷體"/>
          <w:sz w:val="26"/>
          <w:szCs w:val="26"/>
        </w:rPr>
      </w:pPr>
      <w:r>
        <w:rPr>
          <w:rFonts w:ascii="標楷體" w:eastAsia="標楷體" w:hAnsi="標楷體" w:hint="eastAsia"/>
          <w:sz w:val="26"/>
          <w:szCs w:val="26"/>
        </w:rPr>
        <w:t>所得稅法第17條之1</w:t>
      </w:r>
    </w:p>
    <w:p w:rsidR="00B7745A" w:rsidRPr="009502F1" w:rsidRDefault="00B7745A" w:rsidP="00B7745A">
      <w:pPr>
        <w:pStyle w:val="HTML"/>
        <w:rPr>
          <w:rFonts w:ascii="標楷體" w:eastAsia="標楷體" w:hAnsi="標楷體"/>
          <w:sz w:val="26"/>
          <w:szCs w:val="26"/>
        </w:rPr>
      </w:pPr>
      <w:r>
        <w:rPr>
          <w:rFonts w:ascii="標楷體" w:eastAsia="標楷體" w:hAnsi="標楷體" w:hint="eastAsia"/>
          <w:sz w:val="26"/>
          <w:szCs w:val="26"/>
        </w:rPr>
        <w:tab/>
        <w:t xml:space="preserve">  </w:t>
      </w:r>
      <w:r w:rsidRPr="009502F1">
        <w:rPr>
          <w:rFonts w:ascii="標楷體" w:eastAsia="標楷體" w:hAnsi="標楷體" w:hint="eastAsia"/>
          <w:sz w:val="26"/>
          <w:szCs w:val="26"/>
        </w:rPr>
        <w:t>個人於年度進行中因</w:t>
      </w:r>
      <w:r w:rsidRPr="009502F1">
        <w:rPr>
          <w:rFonts w:ascii="標楷體" w:eastAsia="標楷體" w:hAnsi="標楷體" w:hint="eastAsia"/>
          <w:b/>
          <w:sz w:val="26"/>
          <w:szCs w:val="26"/>
        </w:rPr>
        <w:t>死亡或離境</w:t>
      </w:r>
      <w:r w:rsidRPr="009502F1">
        <w:rPr>
          <w:rFonts w:ascii="標楷體" w:eastAsia="標楷體" w:hAnsi="標楷體" w:hint="eastAsia"/>
          <w:sz w:val="26"/>
          <w:szCs w:val="26"/>
        </w:rPr>
        <w:t>，依第七十一條之一規定辦理</w:t>
      </w:r>
      <w:r>
        <w:rPr>
          <w:rFonts w:ascii="標楷體" w:eastAsia="標楷體" w:hAnsi="標楷體" w:hint="eastAsia"/>
          <w:sz w:val="26"/>
          <w:szCs w:val="26"/>
        </w:rPr>
        <w:tab/>
        <w:t xml:space="preserve">  </w:t>
      </w:r>
      <w:r>
        <w:rPr>
          <w:rFonts w:ascii="標楷體" w:eastAsia="標楷體" w:hAnsi="標楷體" w:hint="eastAsia"/>
          <w:sz w:val="26"/>
          <w:szCs w:val="26"/>
        </w:rPr>
        <w:tab/>
        <w:t xml:space="preserve">  </w:t>
      </w:r>
      <w:r w:rsidRPr="009502F1">
        <w:rPr>
          <w:rFonts w:ascii="標楷體" w:eastAsia="標楷體" w:hAnsi="標楷體" w:hint="eastAsia"/>
          <w:sz w:val="26"/>
          <w:szCs w:val="26"/>
        </w:rPr>
        <w:t>綜合所得稅結算申報者，其免稅額及標準扣除額之減除，應</w:t>
      </w:r>
      <w:r w:rsidRPr="009502F1">
        <w:rPr>
          <w:rFonts w:ascii="標楷體" w:eastAsia="標楷體" w:hAnsi="標楷體" w:hint="eastAsia"/>
          <w:b/>
          <w:sz w:val="26"/>
          <w:szCs w:val="26"/>
        </w:rPr>
        <w:t>分</w:t>
      </w:r>
      <w:r>
        <w:rPr>
          <w:rFonts w:ascii="標楷體" w:eastAsia="標楷體" w:hAnsi="標楷體" w:hint="eastAsia"/>
          <w:b/>
          <w:sz w:val="26"/>
          <w:szCs w:val="26"/>
        </w:rPr>
        <w:tab/>
        <w:t xml:space="preserve">  </w:t>
      </w:r>
      <w:r>
        <w:rPr>
          <w:rFonts w:ascii="標楷體" w:eastAsia="標楷體" w:hAnsi="標楷體" w:hint="eastAsia"/>
          <w:b/>
          <w:sz w:val="26"/>
          <w:szCs w:val="26"/>
        </w:rPr>
        <w:lastRenderedPageBreak/>
        <w:tab/>
        <w:t xml:space="preserve">  </w:t>
      </w:r>
      <w:r w:rsidRPr="009502F1">
        <w:rPr>
          <w:rFonts w:ascii="標楷體" w:eastAsia="標楷體" w:hAnsi="標楷體" w:hint="eastAsia"/>
          <w:b/>
          <w:sz w:val="26"/>
          <w:szCs w:val="26"/>
        </w:rPr>
        <w:t>別按該年度死亡前日數</w:t>
      </w:r>
      <w:r>
        <w:rPr>
          <w:rFonts w:ascii="標楷體" w:eastAsia="標楷體" w:hAnsi="標楷體" w:hint="eastAsia"/>
          <w:b/>
          <w:sz w:val="26"/>
          <w:szCs w:val="26"/>
        </w:rPr>
        <w:t>，</w:t>
      </w:r>
      <w:r w:rsidRPr="009502F1">
        <w:rPr>
          <w:rFonts w:ascii="標楷體" w:eastAsia="標楷體" w:hAnsi="標楷體" w:hint="eastAsia"/>
          <w:b/>
          <w:sz w:val="26"/>
          <w:szCs w:val="26"/>
        </w:rPr>
        <w:t>或在中華民國境內居住日數，占全年</w:t>
      </w:r>
      <w:r>
        <w:rPr>
          <w:rFonts w:ascii="標楷體" w:eastAsia="標楷體" w:hAnsi="標楷體" w:hint="eastAsia"/>
          <w:b/>
          <w:sz w:val="26"/>
          <w:szCs w:val="26"/>
        </w:rPr>
        <w:tab/>
        <w:t xml:space="preserve">  </w:t>
      </w:r>
      <w:r>
        <w:rPr>
          <w:rFonts w:ascii="標楷體" w:eastAsia="標楷體" w:hAnsi="標楷體" w:hint="eastAsia"/>
          <w:b/>
          <w:sz w:val="26"/>
          <w:szCs w:val="26"/>
        </w:rPr>
        <w:tab/>
        <w:t xml:space="preserve">  </w:t>
      </w:r>
      <w:r w:rsidRPr="009502F1">
        <w:rPr>
          <w:rFonts w:ascii="標楷體" w:eastAsia="標楷體" w:hAnsi="標楷體" w:hint="eastAsia"/>
          <w:b/>
          <w:sz w:val="26"/>
          <w:szCs w:val="26"/>
        </w:rPr>
        <w:t>日數之比例，換算減除</w:t>
      </w:r>
      <w:r w:rsidRPr="009502F1">
        <w:rPr>
          <w:rFonts w:ascii="標楷體" w:eastAsia="標楷體" w:hAnsi="標楷體" w:hint="eastAsia"/>
          <w:sz w:val="26"/>
          <w:szCs w:val="26"/>
        </w:rPr>
        <w:t>。</w:t>
      </w:r>
    </w:p>
    <w:p w:rsidR="00B7745A" w:rsidRDefault="00B7745A" w:rsidP="00B7745A">
      <w:pPr>
        <w:pStyle w:val="HTML"/>
        <w:numPr>
          <w:ilvl w:val="0"/>
          <w:numId w:val="2"/>
        </w:numPr>
        <w:tabs>
          <w:tab w:val="clear" w:pos="916"/>
          <w:tab w:val="left" w:pos="400"/>
        </w:tabs>
        <w:rPr>
          <w:rFonts w:ascii="標楷體" w:eastAsia="標楷體" w:hAnsi="標楷體"/>
          <w:sz w:val="26"/>
          <w:szCs w:val="26"/>
        </w:rPr>
      </w:pPr>
      <w:r>
        <w:rPr>
          <w:rFonts w:ascii="標楷體" w:eastAsia="標楷體" w:hAnsi="標楷體" w:hint="eastAsia"/>
          <w:sz w:val="26"/>
          <w:szCs w:val="26"/>
        </w:rPr>
        <w:t>所得稅法第71條之1</w:t>
      </w:r>
    </w:p>
    <w:p w:rsidR="00B7745A" w:rsidRPr="009502F1" w:rsidRDefault="00B7745A" w:rsidP="00B7745A">
      <w:pPr>
        <w:pStyle w:val="HTML"/>
        <w:rPr>
          <w:rFonts w:ascii="標楷體" w:eastAsia="標楷體" w:hAnsi="標楷體"/>
          <w:b/>
          <w:sz w:val="26"/>
          <w:szCs w:val="26"/>
        </w:rPr>
      </w:pPr>
      <w:r>
        <w:rPr>
          <w:rFonts w:ascii="標楷體" w:eastAsia="標楷體" w:hAnsi="標楷體" w:hint="eastAsia"/>
          <w:sz w:val="26"/>
          <w:szCs w:val="26"/>
        </w:rPr>
        <w:tab/>
        <w:t xml:space="preserve">  </w:t>
      </w:r>
      <w:r w:rsidRPr="009502F1">
        <w:rPr>
          <w:rFonts w:ascii="標楷體" w:eastAsia="標楷體" w:hAnsi="標楷體" w:hint="eastAsia"/>
          <w:sz w:val="26"/>
          <w:szCs w:val="26"/>
        </w:rPr>
        <w:t>中華民國境內居住之個人於</w:t>
      </w:r>
      <w:r w:rsidRPr="009502F1">
        <w:rPr>
          <w:rFonts w:ascii="標楷體" w:eastAsia="標楷體" w:hAnsi="標楷體" w:hint="eastAsia"/>
          <w:b/>
          <w:sz w:val="26"/>
          <w:szCs w:val="26"/>
        </w:rPr>
        <w:t>年度中死亡</w:t>
      </w:r>
      <w:r w:rsidRPr="009502F1">
        <w:rPr>
          <w:rFonts w:ascii="標楷體" w:eastAsia="標楷體" w:hAnsi="標楷體" w:hint="eastAsia"/>
          <w:sz w:val="26"/>
          <w:szCs w:val="26"/>
        </w:rPr>
        <w:t>，其死亡及以前年度依</w:t>
      </w:r>
      <w:r>
        <w:rPr>
          <w:rFonts w:ascii="標楷體" w:eastAsia="標楷體" w:hAnsi="標楷體" w:hint="eastAsia"/>
          <w:sz w:val="26"/>
          <w:szCs w:val="26"/>
        </w:rPr>
        <w:tab/>
        <w:t xml:space="preserve">  </w:t>
      </w:r>
      <w:r>
        <w:rPr>
          <w:rFonts w:ascii="標楷體" w:eastAsia="標楷體" w:hAnsi="標楷體" w:hint="eastAsia"/>
          <w:sz w:val="26"/>
          <w:szCs w:val="26"/>
        </w:rPr>
        <w:tab/>
        <w:t xml:space="preserve">  </w:t>
      </w:r>
      <w:r w:rsidRPr="009502F1">
        <w:rPr>
          <w:rFonts w:ascii="標楷體" w:eastAsia="標楷體" w:hAnsi="標楷體" w:hint="eastAsia"/>
          <w:sz w:val="26"/>
          <w:szCs w:val="26"/>
        </w:rPr>
        <w:t>本法規定應申報課稅之所得，除依第七十一條規定免辦結算申</w:t>
      </w:r>
      <w:r>
        <w:rPr>
          <w:rFonts w:ascii="標楷體" w:eastAsia="標楷體" w:hAnsi="標楷體" w:hint="eastAsia"/>
          <w:sz w:val="26"/>
          <w:szCs w:val="26"/>
        </w:rPr>
        <w:tab/>
        <w:t xml:space="preserve">  </w:t>
      </w:r>
      <w:r>
        <w:rPr>
          <w:rFonts w:ascii="標楷體" w:eastAsia="標楷體" w:hAnsi="標楷體" w:hint="eastAsia"/>
          <w:sz w:val="26"/>
          <w:szCs w:val="26"/>
        </w:rPr>
        <w:tab/>
        <w:t xml:space="preserve">  </w:t>
      </w:r>
      <w:r w:rsidRPr="009502F1">
        <w:rPr>
          <w:rFonts w:ascii="標楷體" w:eastAsia="標楷體" w:hAnsi="標楷體" w:hint="eastAsia"/>
          <w:sz w:val="26"/>
          <w:szCs w:val="26"/>
        </w:rPr>
        <w:t>報者外，應由</w:t>
      </w:r>
      <w:r w:rsidRPr="009502F1">
        <w:rPr>
          <w:rFonts w:ascii="標楷體" w:eastAsia="標楷體" w:hAnsi="標楷體" w:hint="eastAsia"/>
          <w:b/>
          <w:sz w:val="26"/>
          <w:szCs w:val="26"/>
        </w:rPr>
        <w:t>遺囑執行人、繼承人或遺產管理人</w:t>
      </w:r>
      <w:r w:rsidRPr="009502F1">
        <w:rPr>
          <w:rFonts w:ascii="標楷體" w:eastAsia="標楷體" w:hAnsi="標楷體" w:hint="eastAsia"/>
          <w:sz w:val="26"/>
          <w:szCs w:val="26"/>
        </w:rPr>
        <w:t>於</w:t>
      </w:r>
      <w:r w:rsidRPr="009502F1">
        <w:rPr>
          <w:rFonts w:ascii="標楷體" w:eastAsia="標楷體" w:hAnsi="標楷體" w:hint="eastAsia"/>
          <w:b/>
          <w:sz w:val="26"/>
          <w:szCs w:val="26"/>
        </w:rPr>
        <w:t>死亡人死亡</w:t>
      </w:r>
      <w:r>
        <w:rPr>
          <w:rFonts w:ascii="標楷體" w:eastAsia="標楷體" w:hAnsi="標楷體" w:hint="eastAsia"/>
          <w:b/>
          <w:sz w:val="26"/>
          <w:szCs w:val="26"/>
        </w:rPr>
        <w:tab/>
        <w:t xml:space="preserve"> </w:t>
      </w:r>
      <w:r>
        <w:rPr>
          <w:rFonts w:ascii="標楷體" w:eastAsia="標楷體" w:hAnsi="標楷體" w:hint="eastAsia"/>
          <w:b/>
          <w:sz w:val="26"/>
          <w:szCs w:val="26"/>
        </w:rPr>
        <w:tab/>
        <w:t xml:space="preserve">  </w:t>
      </w:r>
      <w:r w:rsidRPr="009502F1">
        <w:rPr>
          <w:rFonts w:ascii="標楷體" w:eastAsia="標楷體" w:hAnsi="標楷體" w:hint="eastAsia"/>
          <w:b/>
          <w:sz w:val="26"/>
          <w:szCs w:val="26"/>
        </w:rPr>
        <w:t>之日起三個月內</w:t>
      </w:r>
      <w:r w:rsidRPr="009502F1">
        <w:rPr>
          <w:rFonts w:ascii="標楷體" w:eastAsia="標楷體" w:hAnsi="標楷體" w:hint="eastAsia"/>
          <w:sz w:val="26"/>
          <w:szCs w:val="26"/>
        </w:rPr>
        <w:t>，依本法之規定辦理結算申報，並就其遺產範</w:t>
      </w:r>
      <w:r>
        <w:rPr>
          <w:rFonts w:ascii="標楷體" w:eastAsia="標楷體" w:hAnsi="標楷體" w:hint="eastAsia"/>
          <w:sz w:val="26"/>
          <w:szCs w:val="26"/>
        </w:rPr>
        <w:tab/>
        <w:t xml:space="preserve"> </w:t>
      </w:r>
      <w:r>
        <w:rPr>
          <w:rFonts w:ascii="標楷體" w:eastAsia="標楷體" w:hAnsi="標楷體" w:hint="eastAsia"/>
          <w:sz w:val="26"/>
          <w:szCs w:val="26"/>
        </w:rPr>
        <w:tab/>
        <w:t xml:space="preserve">  </w:t>
      </w:r>
      <w:r w:rsidRPr="009502F1">
        <w:rPr>
          <w:rFonts w:ascii="標楷體" w:eastAsia="標楷體" w:hAnsi="標楷體" w:hint="eastAsia"/>
          <w:sz w:val="26"/>
          <w:szCs w:val="26"/>
        </w:rPr>
        <w:t>圍內代負一切有關申報納稅之義務。但</w:t>
      </w:r>
      <w:r w:rsidRPr="009502F1">
        <w:rPr>
          <w:rFonts w:ascii="標楷體" w:eastAsia="標楷體" w:hAnsi="標楷體" w:hint="eastAsia"/>
          <w:b/>
          <w:sz w:val="26"/>
          <w:szCs w:val="26"/>
        </w:rPr>
        <w:t>遺有配偶為中華民國境</w:t>
      </w:r>
      <w:r>
        <w:rPr>
          <w:rFonts w:ascii="標楷體" w:eastAsia="標楷體" w:hAnsi="標楷體" w:hint="eastAsia"/>
          <w:b/>
          <w:sz w:val="26"/>
          <w:szCs w:val="26"/>
        </w:rPr>
        <w:tab/>
        <w:t xml:space="preserve">  </w:t>
      </w:r>
      <w:r>
        <w:rPr>
          <w:rFonts w:ascii="標楷體" w:eastAsia="標楷體" w:hAnsi="標楷體" w:hint="eastAsia"/>
          <w:b/>
          <w:sz w:val="26"/>
          <w:szCs w:val="26"/>
        </w:rPr>
        <w:tab/>
        <w:t xml:space="preserve">  </w:t>
      </w:r>
      <w:r w:rsidRPr="009502F1">
        <w:rPr>
          <w:rFonts w:ascii="標楷體" w:eastAsia="標楷體" w:hAnsi="標楷體" w:hint="eastAsia"/>
          <w:b/>
          <w:sz w:val="26"/>
          <w:szCs w:val="26"/>
        </w:rPr>
        <w:t>內居住之個人者，仍應由其配偶依第七十一條之規定，合</w:t>
      </w:r>
    </w:p>
    <w:p w:rsidR="00B7745A" w:rsidRDefault="00B7745A" w:rsidP="00B7745A">
      <w:pPr>
        <w:pStyle w:val="HTML"/>
        <w:rPr>
          <w:rFonts w:ascii="標楷體" w:eastAsia="標楷體" w:hAnsi="標楷體"/>
          <w:sz w:val="26"/>
          <w:szCs w:val="26"/>
        </w:rPr>
      </w:pPr>
      <w:r>
        <w:rPr>
          <w:rFonts w:ascii="標楷體" w:eastAsia="標楷體" w:hAnsi="標楷體" w:hint="eastAsia"/>
          <w:b/>
          <w:sz w:val="26"/>
          <w:szCs w:val="26"/>
        </w:rPr>
        <w:tab/>
        <w:t xml:space="preserve">  </w:t>
      </w:r>
      <w:r w:rsidRPr="009502F1">
        <w:rPr>
          <w:rFonts w:ascii="標楷體" w:eastAsia="標楷體" w:hAnsi="標楷體" w:hint="eastAsia"/>
          <w:b/>
          <w:sz w:val="26"/>
          <w:szCs w:val="26"/>
        </w:rPr>
        <w:t>併辦理結算申報納稅</w:t>
      </w:r>
      <w:r w:rsidRPr="009502F1">
        <w:rPr>
          <w:rFonts w:ascii="標楷體" w:eastAsia="標楷體" w:hAnsi="標楷體" w:hint="eastAsia"/>
          <w:sz w:val="26"/>
          <w:szCs w:val="26"/>
        </w:rPr>
        <w:t>。</w:t>
      </w:r>
    </w:p>
    <w:p w:rsidR="00B7745A" w:rsidRDefault="00B7745A"/>
    <w:p w:rsidR="00B7745A" w:rsidRPr="00D22440" w:rsidRDefault="00B7745A" w:rsidP="00B7745A">
      <w:pPr>
        <w:pStyle w:val="HTML"/>
        <w:rPr>
          <w:rFonts w:ascii="標楷體" w:eastAsia="標楷體" w:hAnsi="標楷體"/>
          <w:sz w:val="26"/>
          <w:szCs w:val="26"/>
        </w:rPr>
      </w:pPr>
      <w:r w:rsidRPr="00D22440">
        <w:rPr>
          <w:rFonts w:ascii="標楷體" w:eastAsia="標楷體" w:hAnsi="標楷體" w:hint="eastAsia"/>
          <w:sz w:val="26"/>
          <w:szCs w:val="26"/>
        </w:rPr>
        <w:t>案情分析:</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(一)到底強哥的家屬要如何幫強哥列報綜合所得稅？</w:t>
      </w:r>
    </w:p>
    <w:p w:rsidR="00B7745A" w:rsidRDefault="00B7745A" w:rsidP="00B7745A">
      <w:pPr>
        <w:pStyle w:val="HTML"/>
        <w:rPr>
          <w:rFonts w:ascii="標楷體" w:eastAsia="標楷體" w:hAnsi="標楷體"/>
          <w:sz w:val="26"/>
          <w:szCs w:val="26"/>
        </w:rPr>
      </w:pPr>
    </w:p>
    <w:tbl>
      <w:tblPr>
        <w:tblStyle w:val="a8"/>
        <w:tblW w:w="0" w:type="auto"/>
        <w:tblLook w:val="04A0" w:firstRow="1" w:lastRow="0" w:firstColumn="1" w:lastColumn="0" w:noHBand="0" w:noVBand="1"/>
      </w:tblPr>
      <w:tblGrid>
        <w:gridCol w:w="2787"/>
        <w:gridCol w:w="2787"/>
        <w:gridCol w:w="2788"/>
      </w:tblGrid>
      <w:tr w:rsidR="00B7745A" w:rsidTr="00046D18">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狀況</w:t>
            </w:r>
          </w:p>
        </w:tc>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申報期間</w:t>
            </w:r>
          </w:p>
        </w:tc>
        <w:tc>
          <w:tcPr>
            <w:tcW w:w="2788"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免稅額標準扣除額</w:t>
            </w:r>
          </w:p>
        </w:tc>
      </w:tr>
      <w:tr w:rsidR="00B7745A" w:rsidTr="00046D18">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1.強嫂合併申報</w:t>
            </w:r>
          </w:p>
        </w:tc>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次年度5月</w:t>
            </w:r>
          </w:p>
        </w:tc>
        <w:tc>
          <w:tcPr>
            <w:tcW w:w="2788"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全數扣除</w:t>
            </w:r>
          </w:p>
        </w:tc>
      </w:tr>
      <w:tr w:rsidR="00B7745A" w:rsidTr="00046D18">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2.強哥被子女扶養</w:t>
            </w:r>
          </w:p>
        </w:tc>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次年度5月</w:t>
            </w:r>
          </w:p>
        </w:tc>
        <w:tc>
          <w:tcPr>
            <w:tcW w:w="2788"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全數扣除</w:t>
            </w:r>
          </w:p>
        </w:tc>
      </w:tr>
      <w:tr w:rsidR="00B7745A" w:rsidTr="00046D18">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3.強哥未被子女扶養</w:t>
            </w:r>
          </w:p>
        </w:tc>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過世後3-6個月</w:t>
            </w:r>
          </w:p>
        </w:tc>
        <w:tc>
          <w:tcPr>
            <w:tcW w:w="2788"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比例計算扣除</w:t>
            </w:r>
          </w:p>
        </w:tc>
      </w:tr>
      <w:tr w:rsidR="00B7745A" w:rsidTr="00046D18">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4.強哥扶養子女</w:t>
            </w:r>
          </w:p>
        </w:tc>
        <w:tc>
          <w:tcPr>
            <w:tcW w:w="2787"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過世後3-6個月</w:t>
            </w:r>
          </w:p>
        </w:tc>
        <w:tc>
          <w:tcPr>
            <w:tcW w:w="2788" w:type="dxa"/>
          </w:tcPr>
          <w:p w:rsidR="00B7745A" w:rsidRDefault="00B7745A" w:rsidP="00046D18">
            <w:pPr>
              <w:pStyle w:val="HTML"/>
              <w:rPr>
                <w:rFonts w:ascii="標楷體" w:eastAsia="標楷體" w:hAnsi="標楷體"/>
                <w:sz w:val="26"/>
                <w:szCs w:val="26"/>
              </w:rPr>
            </w:pPr>
            <w:r>
              <w:rPr>
                <w:rFonts w:ascii="標楷體" w:eastAsia="標楷體" w:hAnsi="標楷體" w:hint="eastAsia"/>
                <w:sz w:val="26"/>
                <w:szCs w:val="26"/>
              </w:rPr>
              <w:t>比例計算扣除</w:t>
            </w:r>
          </w:p>
        </w:tc>
      </w:tr>
    </w:tbl>
    <w:p w:rsidR="00B7745A" w:rsidRDefault="00B7745A" w:rsidP="00B7745A">
      <w:pPr>
        <w:pStyle w:val="HTML"/>
        <w:rPr>
          <w:rFonts w:ascii="標楷體" w:eastAsia="標楷體" w:hAnsi="標楷體"/>
          <w:sz w:val="26"/>
          <w:szCs w:val="26"/>
        </w:rPr>
      </w:pP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(二)強哥是否可由孫子列報扶養?</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 xml:space="preserve">  可以</w:t>
      </w:r>
    </w:p>
    <w:p w:rsidR="00B7745A" w:rsidRDefault="00B7745A" w:rsidP="00B7745A">
      <w:pPr>
        <w:pStyle w:val="HTML"/>
        <w:rPr>
          <w:rFonts w:ascii="標楷體" w:eastAsia="標楷體" w:hAnsi="標楷體"/>
          <w:sz w:val="26"/>
          <w:szCs w:val="26"/>
        </w:rPr>
      </w:pP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(三)強哥如果由兒子申報扶養親屬但是申報完成之後強哥才往生，可否更改為分別申報?</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 xml:space="preserve">  不可以</w:t>
      </w:r>
    </w:p>
    <w:p w:rsidR="00B7745A" w:rsidRDefault="00B7745A" w:rsidP="00B7745A">
      <w:pPr>
        <w:pStyle w:val="HTML"/>
        <w:rPr>
          <w:rFonts w:ascii="標楷體" w:eastAsia="標楷體" w:hAnsi="標楷體"/>
          <w:sz w:val="26"/>
          <w:szCs w:val="26"/>
        </w:rPr>
      </w:pP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(四)若是在3-6個月內連續申報強哥的遺產稅與綜合所得稅是否有重複課稅的問題?</w:t>
      </w:r>
    </w:p>
    <w:p w:rsidR="00B7745A" w:rsidRDefault="00B7745A" w:rsidP="00B7745A">
      <w:pPr>
        <w:pStyle w:val="HTML"/>
        <w:rPr>
          <w:rFonts w:ascii="標楷體" w:eastAsia="標楷體" w:hAnsi="標楷體"/>
          <w:sz w:val="26"/>
          <w:szCs w:val="26"/>
        </w:rPr>
      </w:pPr>
      <w:r>
        <w:rPr>
          <w:rFonts w:ascii="標楷體" w:eastAsia="標楷體" w:hAnsi="標楷體" w:hint="eastAsia"/>
          <w:sz w:val="26"/>
          <w:szCs w:val="26"/>
        </w:rPr>
        <w:t xml:space="preserve">  由於綜所稅是強哥生前所賺取的所得，不論強哥是否過世皆需要申報並繳納稅捐，遺產稅是強哥往生之後針對強哥遺留下來的遺產所產生的稅捐因此並沒有所謂重複課稅的問題。</w:t>
      </w:r>
    </w:p>
    <w:p w:rsidR="00BC1B79" w:rsidRDefault="00BC1B79" w:rsidP="00B7745A">
      <w:pPr>
        <w:pStyle w:val="HTML"/>
        <w:rPr>
          <w:rFonts w:ascii="標楷體" w:eastAsia="標楷體" w:hAnsi="標楷體"/>
          <w:sz w:val="26"/>
          <w:szCs w:val="26"/>
        </w:rPr>
      </w:pPr>
    </w:p>
    <w:p w:rsidR="00BC1B79" w:rsidRDefault="00BC1B79" w:rsidP="00B7745A">
      <w:pPr>
        <w:pStyle w:val="HTML"/>
        <w:rPr>
          <w:rFonts w:ascii="標楷體" w:eastAsia="標楷體" w:hAnsi="標楷體"/>
          <w:sz w:val="26"/>
          <w:szCs w:val="26"/>
        </w:rPr>
      </w:pPr>
    </w:p>
    <w:p w:rsidR="00BC1B79" w:rsidRDefault="00BC1B79" w:rsidP="00B7745A">
      <w:pPr>
        <w:pStyle w:val="HTML"/>
        <w:rPr>
          <w:rFonts w:ascii="標楷體" w:eastAsia="標楷體" w:hAnsi="標楷體"/>
          <w:sz w:val="26"/>
          <w:szCs w:val="26"/>
        </w:rPr>
      </w:pPr>
    </w:p>
    <w:p w:rsidR="00BC1B79" w:rsidRDefault="00BC1B79" w:rsidP="00B7745A">
      <w:pPr>
        <w:pStyle w:val="HTML"/>
        <w:rPr>
          <w:rFonts w:ascii="標楷體" w:eastAsia="標楷體" w:hAnsi="標楷體"/>
          <w:sz w:val="26"/>
          <w:szCs w:val="26"/>
        </w:rPr>
      </w:pPr>
    </w:p>
    <w:p w:rsidR="00BC1B79" w:rsidRDefault="00BC1B79" w:rsidP="00B7745A">
      <w:pPr>
        <w:pStyle w:val="HTML"/>
        <w:rPr>
          <w:rFonts w:ascii="標楷體" w:eastAsia="標楷體" w:hAnsi="標楷體"/>
          <w:sz w:val="26"/>
          <w:szCs w:val="26"/>
        </w:rPr>
      </w:pPr>
    </w:p>
    <w:p w:rsidR="00BC1B79" w:rsidRDefault="00BC1B79" w:rsidP="00B7745A">
      <w:pPr>
        <w:pStyle w:val="HTML"/>
        <w:rPr>
          <w:rFonts w:ascii="標楷體" w:eastAsia="標楷體" w:hAnsi="標楷體"/>
          <w:sz w:val="26"/>
          <w:szCs w:val="26"/>
        </w:rPr>
      </w:pPr>
    </w:p>
    <w:p w:rsidR="00BC1B79" w:rsidRPr="00BC1B79" w:rsidRDefault="00BC1B79" w:rsidP="00BC1B79">
      <w:pPr>
        <w:widowControl/>
        <w:shd w:val="clear" w:color="auto" w:fill="FFFFFF"/>
        <w:outlineLvl w:val="1"/>
        <w:rPr>
          <w:rFonts w:ascii="標楷體" w:eastAsia="標楷體" w:hAnsi="標楷體" w:cs="新細明體"/>
          <w:b/>
          <w:bCs/>
          <w:color w:val="222222"/>
          <w:spacing w:val="14"/>
          <w:kern w:val="0"/>
          <w:sz w:val="36"/>
          <w:szCs w:val="36"/>
        </w:rPr>
      </w:pPr>
      <w:r w:rsidRPr="00BC1B79">
        <w:rPr>
          <w:rFonts w:ascii="標楷體" w:eastAsia="標楷體" w:hAnsi="標楷體" w:cs="新細明體" w:hint="eastAsia"/>
          <w:b/>
          <w:bCs/>
          <w:color w:val="222222"/>
          <w:spacing w:val="14"/>
          <w:kern w:val="0"/>
          <w:sz w:val="36"/>
          <w:szCs w:val="36"/>
        </w:rPr>
        <w:lastRenderedPageBreak/>
        <w:t>房地合一稅 劃出逃命線(2013/02/13經濟日報)</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房地合一課稅劃出「逃命線」，日出條款再放寬。財政部預定，新制施行日為2016年，今年12月31日以前取得的不動產，符合持有滿二年的條件，即使是在新制施行後出售，一律免除按實價課稅。</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依據統計，施行首年，多達99.94%的房屋仍沿用舊制，採取房、地分別課稅。換言之，全台每1萬棟房屋，首年只有六棟需要按實價課稅。</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財政部長張盛和昨（12）日宣布房地合一課稅方案，維持輕稅、防弊原則，自住不限一屋，售價4,000萬元以內，六年內享有一次免稅優惠；短期炒房與外資等非居住者，稅率拉升至30%，與一般17%的分離稅率形成區隔。</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財政部版提出後，接下來的戰場將在立法院。國民黨政策會執行長賴士葆表示，行政院暫不會核定財政部房地合一方案，要等國民黨完成黨政平台溝通後，才會將方案送進立院。為了廣徵外界意見，國民黨中央政策會今將召開房地合一公聽會。</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財政部版課稅方案決定將房地合一施行範圍大幅限縮，僅將施行日（2016年）後取得的不動產納入實價課稅範圍；施行日前（今年12月31日）取得的房產，則設定限售條款，符合持有滿二年再出售的條件，即使出售時點跨越新制，亦僅需沿用舊制繳稅。</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舉例來說，甲在今年2月13日買進一棟A房產，2016年房地合一制施行，甲只需在2017年2月13日持有滿二年後出售，就不在房地合一課徵範圍。但若甲在房地合一施行後出售A房產，不僅是新制課徵對象，因持有未滿二年，還會被按30%的稅率課徵房地合一稅。</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張盛和表示，房地合一制需確保廣大的中產階級不受影響，加上全台自有房屋持有率高達85%，課稅範圍拿捏必須謹慎。房地合一制施行後，維持新、舊制並行的課徵制度，估計首年稅收與課稅標的僅26億元及6,311棟，至第十年時，國庫取自房地合一的稅收即會高達143億元，約有7萬棟要按新制繳稅。</w:t>
      </w:r>
    </w:p>
    <w:p w:rsidR="00BC1B79" w:rsidRPr="00BC1B79" w:rsidRDefault="00BC1B79" w:rsidP="00BC1B79">
      <w:pPr>
        <w:pStyle w:val="Web"/>
        <w:shd w:val="clear" w:color="auto" w:fill="FFFFFF"/>
        <w:spacing w:before="190" w:beforeAutospacing="0" w:after="190" w:afterAutospacing="0" w:line="346" w:lineRule="atLeast"/>
        <w:rPr>
          <w:rFonts w:ascii="標楷體" w:eastAsia="標楷體" w:hAnsi="標楷體" w:cs="Arial"/>
          <w:color w:val="222222"/>
          <w:sz w:val="26"/>
          <w:szCs w:val="26"/>
        </w:rPr>
      </w:pPr>
      <w:r w:rsidRPr="00BC1B79">
        <w:rPr>
          <w:rFonts w:ascii="標楷體" w:eastAsia="標楷體" w:hAnsi="標楷體" w:cs="Arial"/>
          <w:color w:val="222222"/>
          <w:sz w:val="26"/>
          <w:szCs w:val="26"/>
        </w:rPr>
        <w:t>張盛和指出，新制一般稅率雖為17%，但包括個人或營利事業出售房產，新制施行後的所得稅負均會高於現制。他舉實際案例，A出售持有八年的房地獲利207萬元，現制下，所得稅與土增稅合併繳交8.9萬元，租稅負擔率4%，改制後同樣是A的案例，房地合一稅與增值稅合併要繳27.7萬元，負擔率提高到14%。</w:t>
      </w:r>
    </w:p>
    <w:p w:rsidR="00B7745A" w:rsidRDefault="00B7745A">
      <w:pPr>
        <w:rPr>
          <w:szCs w:val="24"/>
        </w:rPr>
      </w:pPr>
    </w:p>
    <w:p w:rsidR="00BC1B79" w:rsidRDefault="00BC1B79">
      <w:pPr>
        <w:rPr>
          <w:szCs w:val="24"/>
        </w:rPr>
      </w:pPr>
    </w:p>
    <w:p w:rsidR="00BC1B79" w:rsidRDefault="00BC1B79">
      <w:pPr>
        <w:rPr>
          <w:szCs w:val="24"/>
        </w:rPr>
      </w:pPr>
      <w:r w:rsidRPr="00BC1B79">
        <w:rPr>
          <w:noProof/>
          <w:szCs w:val="24"/>
        </w:rPr>
        <w:lastRenderedPageBreak/>
        <w:drawing>
          <wp:inline distT="0" distB="0" distL="0" distR="0">
            <wp:extent cx="5238750" cy="2828925"/>
            <wp:effectExtent l="19050" t="0" r="0" b="0"/>
            <wp:docPr id="5" name="圖片 1" descr="http://pgw.udn.com.tw/gw/photo.php?u=http://uc.udn.com.tw/photo/2015/02/13/2/541659.jpg&amp;w=700&amp;h=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gw.udn.com.tw/gw/photo.php?u=http://uc.udn.com.tw/photo/2015/02/13/2/541659.jpg&amp;w=700&amp;h=1000"/>
                    <pic:cNvPicPr>
                      <a:picLocks noChangeAspect="1" noChangeArrowheads="1"/>
                    </pic:cNvPicPr>
                  </pic:nvPicPr>
                  <pic:blipFill>
                    <a:blip r:embed="rId8"/>
                    <a:srcRect/>
                    <a:stretch>
                      <a:fillRect/>
                    </a:stretch>
                  </pic:blipFill>
                  <pic:spPr bwMode="auto">
                    <a:xfrm>
                      <a:off x="0" y="0"/>
                      <a:ext cx="5246013" cy="2832847"/>
                    </a:xfrm>
                    <a:prstGeom prst="rect">
                      <a:avLst/>
                    </a:prstGeom>
                    <a:noFill/>
                    <a:ln w="9525">
                      <a:noFill/>
                      <a:miter lim="800000"/>
                      <a:headEnd/>
                      <a:tailEnd/>
                    </a:ln>
                  </pic:spPr>
                </pic:pic>
              </a:graphicData>
            </a:graphic>
          </wp:inline>
        </w:drawing>
      </w:r>
    </w:p>
    <w:p w:rsidR="00947691" w:rsidRDefault="00947691">
      <w:pPr>
        <w:rPr>
          <w:szCs w:val="24"/>
        </w:rPr>
      </w:pPr>
    </w:p>
    <w:p w:rsidR="00947691" w:rsidRDefault="00947691">
      <w:pPr>
        <w:rPr>
          <w:szCs w:val="24"/>
        </w:rPr>
      </w:pPr>
    </w:p>
    <w:p w:rsidR="00947691" w:rsidRDefault="00947691">
      <w:pPr>
        <w:rPr>
          <w:rFonts w:ascii="標楷體" w:eastAsia="標楷體" w:hAnsi="標楷體"/>
          <w:bCs/>
          <w:sz w:val="26"/>
          <w:szCs w:val="26"/>
        </w:rPr>
      </w:pPr>
      <w:r>
        <w:rPr>
          <w:rFonts w:ascii="標楷體" w:eastAsia="標楷體" w:hAnsi="標楷體" w:hint="eastAsia"/>
          <w:bCs/>
          <w:sz w:val="26"/>
          <w:szCs w:val="26"/>
        </w:rPr>
        <w:t>15.</w:t>
      </w:r>
      <w:r w:rsidRPr="003125BB">
        <w:rPr>
          <w:rFonts w:hint="eastAsia"/>
        </w:rPr>
        <w:t xml:space="preserve"> </w:t>
      </w:r>
      <w:r w:rsidRPr="003125BB">
        <w:rPr>
          <w:rFonts w:ascii="標楷體" w:eastAsia="標楷體" w:hAnsi="標楷體" w:hint="eastAsia"/>
          <w:bCs/>
          <w:sz w:val="26"/>
          <w:szCs w:val="26"/>
        </w:rPr>
        <w:t>轉售未過戶土地 需課綜所稅</w:t>
      </w:r>
      <w:r>
        <w:rPr>
          <w:rFonts w:ascii="標楷體" w:eastAsia="標楷體" w:hAnsi="標楷體" w:hint="eastAsia"/>
          <w:bCs/>
          <w:sz w:val="26"/>
          <w:szCs w:val="26"/>
        </w:rPr>
        <w:t>(工商時報2014/12/23)</w:t>
      </w:r>
    </w:p>
    <w:p w:rsidR="00947691" w:rsidRDefault="00947691">
      <w:pPr>
        <w:rPr>
          <w:szCs w:val="24"/>
        </w:rPr>
      </w:pPr>
      <w:r w:rsidRPr="00947691">
        <w:rPr>
          <w:rFonts w:ascii="標楷體" w:eastAsia="標楷體" w:hAnsi="標楷體"/>
          <w:bCs/>
          <w:noProof/>
          <w:sz w:val="26"/>
          <w:szCs w:val="26"/>
        </w:rPr>
        <w:drawing>
          <wp:inline distT="0" distB="0" distL="0" distR="0">
            <wp:extent cx="5274310" cy="1923099"/>
            <wp:effectExtent l="19050" t="0" r="2540" b="0"/>
            <wp:docPr id="12" name="圖片 12" descr="購買土地，有沒有過戶差很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購買土地，有沒有過戶差很大"/>
                    <pic:cNvPicPr>
                      <a:picLocks noChangeAspect="1" noChangeArrowheads="1"/>
                    </pic:cNvPicPr>
                  </pic:nvPicPr>
                  <pic:blipFill>
                    <a:blip r:embed="rId9"/>
                    <a:srcRect/>
                    <a:stretch>
                      <a:fillRect/>
                    </a:stretch>
                  </pic:blipFill>
                  <pic:spPr bwMode="auto">
                    <a:xfrm>
                      <a:off x="0" y="0"/>
                      <a:ext cx="5274310" cy="1923099"/>
                    </a:xfrm>
                    <a:prstGeom prst="rect">
                      <a:avLst/>
                    </a:prstGeom>
                    <a:noFill/>
                    <a:ln w="9525">
                      <a:noFill/>
                      <a:miter lim="800000"/>
                      <a:headEnd/>
                      <a:tailEnd/>
                    </a:ln>
                  </pic:spPr>
                </pic:pic>
              </a:graphicData>
            </a:graphic>
          </wp:inline>
        </w:drawing>
      </w:r>
    </w:p>
    <w:p w:rsidR="00947691" w:rsidRDefault="00947691">
      <w:pPr>
        <w:rPr>
          <w:szCs w:val="24"/>
        </w:rPr>
      </w:pPr>
    </w:p>
    <w:p w:rsidR="00947691" w:rsidRPr="00947691" w:rsidRDefault="00947691" w:rsidP="00947691">
      <w:pPr>
        <w:rPr>
          <w:rFonts w:ascii="標楷體" w:eastAsia="標楷體" w:hAnsi="標楷體"/>
          <w:bCs/>
          <w:sz w:val="26"/>
          <w:szCs w:val="26"/>
        </w:rPr>
      </w:pPr>
      <w:r w:rsidRPr="00947691">
        <w:rPr>
          <w:rFonts w:ascii="標楷體" w:eastAsia="標楷體" w:hAnsi="標楷體" w:hint="eastAsia"/>
          <w:sz w:val="26"/>
          <w:szCs w:val="26"/>
        </w:rPr>
        <w:t>2.</w:t>
      </w:r>
      <w:r w:rsidRPr="00947691">
        <w:rPr>
          <w:rFonts w:ascii="標楷體" w:eastAsia="標楷體" w:hAnsi="標楷體" w:hint="eastAsia"/>
          <w:b/>
          <w:bCs/>
          <w:sz w:val="26"/>
          <w:szCs w:val="26"/>
        </w:rPr>
        <w:t xml:space="preserve"> </w:t>
      </w:r>
      <w:r w:rsidRPr="00947691">
        <w:rPr>
          <w:rFonts w:ascii="標楷體" w:eastAsia="標楷體" w:hAnsi="標楷體" w:hint="eastAsia"/>
          <w:bCs/>
          <w:sz w:val="26"/>
          <w:szCs w:val="26"/>
        </w:rPr>
        <w:t>問答／一次買多項商品 不可分別開發票(</w:t>
      </w:r>
      <w:r w:rsidRPr="00947691">
        <w:rPr>
          <w:rFonts w:ascii="標楷體" w:eastAsia="標楷體" w:hAnsi="標楷體"/>
          <w:bCs/>
          <w:sz w:val="26"/>
          <w:szCs w:val="26"/>
        </w:rPr>
        <w:t>2014-12-30 經濟日報</w:t>
      </w:r>
      <w:r w:rsidRPr="00947691">
        <w:rPr>
          <w:rFonts w:ascii="標楷體" w:eastAsia="標楷體" w:hAnsi="標楷體" w:hint="eastAsia"/>
          <w:bCs/>
          <w:sz w:val="26"/>
          <w:szCs w:val="26"/>
        </w:rPr>
        <w:t>)</w:t>
      </w:r>
    </w:p>
    <w:p w:rsidR="00947691" w:rsidRPr="00947691" w:rsidRDefault="00947691" w:rsidP="00947691">
      <w:pPr>
        <w:rPr>
          <w:rFonts w:ascii="標楷體" w:eastAsia="標楷體" w:hAnsi="標楷體"/>
          <w:sz w:val="26"/>
          <w:szCs w:val="26"/>
        </w:rPr>
      </w:pPr>
      <w:r w:rsidRPr="00947691">
        <w:rPr>
          <w:rFonts w:ascii="標楷體" w:eastAsia="標楷體" w:hAnsi="標楷體"/>
          <w:bCs/>
          <w:sz w:val="26"/>
          <w:szCs w:val="26"/>
        </w:rPr>
        <w:t>淡水區陳小姐問：一次交易消費多項商品，可否要求店員針對每一項商品分別開立發票？</w:t>
      </w:r>
    </w:p>
    <w:p w:rsidR="00947691" w:rsidRDefault="00947691">
      <w:pPr>
        <w:rPr>
          <w:rFonts w:ascii="標楷體" w:eastAsia="標楷體" w:hAnsi="標楷體"/>
          <w:sz w:val="26"/>
          <w:szCs w:val="26"/>
        </w:rPr>
      </w:pPr>
      <w:r w:rsidRPr="00947691">
        <w:rPr>
          <w:rFonts w:ascii="標楷體" w:eastAsia="標楷體" w:hAnsi="標楷體"/>
          <w:bCs/>
          <w:sz w:val="26"/>
          <w:szCs w:val="26"/>
        </w:rPr>
        <w:t>北區國稅局淡水稽徵所答覆：</w:t>
      </w:r>
      <w:r w:rsidRPr="00947691">
        <w:rPr>
          <w:rFonts w:ascii="標楷體" w:eastAsia="標楷體" w:hAnsi="標楷體"/>
          <w:sz w:val="26"/>
          <w:szCs w:val="26"/>
        </w:rPr>
        <w:t>經核定使用統一發票之營業人銷售貨物或勞務，除應依加值型及非加值型營業稅法「營業人開立銷售憑證時限表」規定之時限開立統一發票外，其所開立之統一發票並應依統一發票使用辦法第9條規定，據實載明交易日期、品名、數量、單價、金額、銷售額、課稅別、稅額及總計等，交付買受人。若</w:t>
      </w:r>
      <w:r w:rsidRPr="00947691">
        <w:rPr>
          <w:rFonts w:ascii="標楷體" w:eastAsia="標楷體" w:hAnsi="標楷體"/>
          <w:b/>
          <w:sz w:val="26"/>
          <w:szCs w:val="26"/>
        </w:rPr>
        <w:t>買受人為營業人時，並應載明買受人名稱及統一編號。故如結帳時一張發票足以記載所購買之商品，則僅可開立一張統一發票</w:t>
      </w:r>
      <w:r w:rsidRPr="00947691">
        <w:rPr>
          <w:rFonts w:ascii="標楷體" w:eastAsia="標楷體" w:hAnsi="標楷體"/>
          <w:sz w:val="26"/>
          <w:szCs w:val="26"/>
        </w:rPr>
        <w:t>；</w:t>
      </w:r>
      <w:r w:rsidRPr="00947691">
        <w:rPr>
          <w:rFonts w:ascii="標楷體" w:eastAsia="標楷體" w:hAnsi="標楷體"/>
          <w:b/>
          <w:sz w:val="26"/>
          <w:szCs w:val="26"/>
        </w:rPr>
        <w:t>又倘於結帳後再次消費，始得另行開立</w:t>
      </w:r>
      <w:r w:rsidRPr="00947691">
        <w:rPr>
          <w:rFonts w:ascii="標楷體" w:eastAsia="標楷體" w:hAnsi="標楷體"/>
          <w:sz w:val="26"/>
          <w:szCs w:val="26"/>
        </w:rPr>
        <w:t>。</w:t>
      </w:r>
    </w:p>
    <w:p w:rsidR="00947691" w:rsidRDefault="00947691">
      <w:pPr>
        <w:rPr>
          <w:rFonts w:ascii="標楷體" w:eastAsia="標楷體" w:hAnsi="標楷體"/>
          <w:sz w:val="26"/>
          <w:szCs w:val="26"/>
        </w:rPr>
      </w:pPr>
    </w:p>
    <w:p w:rsidR="00947691" w:rsidRDefault="00947691">
      <w:pPr>
        <w:rPr>
          <w:rFonts w:ascii="標楷體" w:eastAsia="標楷體" w:hAnsi="標楷體"/>
          <w:sz w:val="26"/>
          <w:szCs w:val="26"/>
        </w:rPr>
      </w:pPr>
    </w:p>
    <w:p w:rsidR="0036735A" w:rsidRDefault="0036735A" w:rsidP="0036735A">
      <w:pPr>
        <w:pStyle w:val="a7"/>
        <w:numPr>
          <w:ilvl w:val="0"/>
          <w:numId w:val="6"/>
        </w:numPr>
        <w:ind w:leftChars="0"/>
        <w:rPr>
          <w:rFonts w:ascii="標楷體" w:eastAsia="標楷體" w:hAnsi="標楷體"/>
          <w:sz w:val="28"/>
          <w:szCs w:val="28"/>
        </w:rPr>
      </w:pPr>
      <w:r>
        <w:rPr>
          <w:rFonts w:ascii="標楷體" w:eastAsia="標楷體" w:hAnsi="標楷體" w:hint="eastAsia"/>
          <w:sz w:val="28"/>
          <w:szCs w:val="28"/>
        </w:rPr>
        <w:lastRenderedPageBreak/>
        <w:t>公司的錢不是負責人、股東的錢</w:t>
      </w:r>
    </w:p>
    <w:p w:rsidR="0036735A" w:rsidRDefault="0036735A" w:rsidP="0036735A">
      <w:pPr>
        <w:rPr>
          <w:rFonts w:ascii="標楷體" w:eastAsia="標楷體" w:hAnsi="標楷體"/>
          <w:sz w:val="28"/>
          <w:szCs w:val="28"/>
        </w:rPr>
      </w:pPr>
      <w:r w:rsidRPr="001858CB">
        <w:rPr>
          <w:rFonts w:ascii="標楷體" w:eastAsia="標楷體" w:hAnsi="標楷體" w:hint="eastAsia"/>
          <w:sz w:val="28"/>
          <w:szCs w:val="28"/>
        </w:rPr>
        <w:t>實例解析:</w:t>
      </w:r>
    </w:p>
    <w:p w:rsidR="0036735A" w:rsidRDefault="0036735A" w:rsidP="0036735A">
      <w:pPr>
        <w:pStyle w:val="a7"/>
        <w:rPr>
          <w:rFonts w:ascii="標楷體" w:eastAsia="標楷體" w:hAnsi="標楷體"/>
          <w:sz w:val="26"/>
          <w:szCs w:val="26"/>
        </w:rPr>
      </w:pPr>
      <w:r>
        <w:rPr>
          <w:rFonts w:ascii="標楷體" w:eastAsia="標楷體" w:hAnsi="標楷體" w:hint="eastAsia"/>
          <w:sz w:val="26"/>
          <w:szCs w:val="26"/>
        </w:rPr>
        <w:t>阿海的老婆氣急敗壞的衝進阿海的辦公室，阿海看著慌張的老婆，阿海淡淡的嘆了一口氣從抽屜拿出支票本問老婆:這次又是闖了什麼禍？阿海的老婆告訴阿海他兒子半年前跟人家投資的網咖，經營不善欠了銀行跟地下錢莊一屁股債，連本帶利一共要還1,500萬，阿海聽到金額生氣地罵：「啥米！1,500萬聽依勒騙肖ㄟ！做生意半年會虧1,500！當林爸沒做過生意」，妳去給我叫那個不孝子自己滾進來跟我說，阿海的老婆苦苦哀求阿海，「我就這麼一個兒子，你不幫她我就從這裡跳下去給你看」，話剛說完就打開陽台的落地窗做勢要往下跳，阿海無奈的開了一張1,500的公司票讓老婆拿去幫兒子還債，沒想到阿海的而兒子不旦不知悔改，還變本加厲的到處去借錢投資，阿海在一年內用公司的票幫兒子還了將近3,000萬的債，這天一大早阿海到公司看見一封國稅局的公文，看完內容之後阿海恨不得把這個兒子分屍丟到太平洋，因為國稅局要針對阿海的公司幫兒子償還的3,000做專案查核。</w:t>
      </w:r>
    </w:p>
    <w:p w:rsidR="00947691" w:rsidRDefault="00947691">
      <w:pPr>
        <w:rPr>
          <w:szCs w:val="24"/>
        </w:rPr>
      </w:pPr>
    </w:p>
    <w:p w:rsidR="0036735A" w:rsidRDefault="0036735A" w:rsidP="0036735A">
      <w:pPr>
        <w:pStyle w:val="a7"/>
        <w:rPr>
          <w:rFonts w:ascii="標楷體" w:eastAsia="標楷體" w:hAnsi="標楷體"/>
          <w:sz w:val="26"/>
          <w:szCs w:val="26"/>
        </w:rPr>
      </w:pPr>
      <w:r>
        <w:rPr>
          <w:rFonts w:ascii="標楷體" w:eastAsia="標楷體" w:hAnsi="標楷體" w:hint="eastAsia"/>
          <w:sz w:val="26"/>
          <w:szCs w:val="26"/>
        </w:rPr>
        <w:t>1.請問阿海幫忙償還的這3,000是要課徵贈與稅或是個人的其他所得稅？</w:t>
      </w:r>
    </w:p>
    <w:p w:rsidR="0036735A" w:rsidRDefault="0036735A" w:rsidP="0036735A">
      <w:pPr>
        <w:pStyle w:val="a7"/>
        <w:rPr>
          <w:rFonts w:ascii="標楷體" w:eastAsia="標楷體" w:hAnsi="標楷體"/>
          <w:sz w:val="26"/>
          <w:szCs w:val="26"/>
        </w:rPr>
      </w:pPr>
    </w:p>
    <w:p w:rsidR="0036735A" w:rsidRDefault="0036735A" w:rsidP="0036735A">
      <w:pPr>
        <w:pStyle w:val="a7"/>
        <w:rPr>
          <w:rFonts w:ascii="標楷體" w:eastAsia="標楷體" w:hAnsi="標楷體"/>
          <w:sz w:val="26"/>
          <w:szCs w:val="26"/>
        </w:rPr>
      </w:pPr>
      <w:r>
        <w:rPr>
          <w:rFonts w:ascii="標楷體" w:eastAsia="標楷體" w:hAnsi="標楷體" w:hint="eastAsia"/>
          <w:sz w:val="26"/>
          <w:szCs w:val="26"/>
        </w:rPr>
        <w:t>2.公司的資金到底可不可以貸與、贈與他人？</w:t>
      </w:r>
    </w:p>
    <w:p w:rsidR="0036735A" w:rsidRDefault="0036735A" w:rsidP="0036735A">
      <w:pPr>
        <w:pStyle w:val="a7"/>
        <w:rPr>
          <w:rFonts w:ascii="標楷體" w:eastAsia="標楷體" w:hAnsi="標楷體"/>
          <w:sz w:val="26"/>
          <w:szCs w:val="26"/>
        </w:rPr>
      </w:pPr>
    </w:p>
    <w:p w:rsidR="0036735A" w:rsidRDefault="0036735A" w:rsidP="0036735A">
      <w:pPr>
        <w:pStyle w:val="a7"/>
        <w:rPr>
          <w:rFonts w:ascii="標楷體" w:eastAsia="標楷體" w:hAnsi="標楷體"/>
          <w:sz w:val="26"/>
          <w:szCs w:val="26"/>
        </w:rPr>
      </w:pPr>
      <w:r>
        <w:rPr>
          <w:rFonts w:ascii="標楷體" w:eastAsia="標楷體" w:hAnsi="標楷體" w:hint="eastAsia"/>
          <w:sz w:val="26"/>
          <w:szCs w:val="26"/>
        </w:rPr>
        <w:t>3.如果阿海主張這筆錢是借給兒子，請問需要符合哪些要件才有機會讓稅局承認這是借貸？</w:t>
      </w:r>
    </w:p>
    <w:p w:rsidR="0036735A" w:rsidRDefault="0036735A">
      <w:pPr>
        <w:rPr>
          <w:szCs w:val="24"/>
        </w:rPr>
      </w:pPr>
    </w:p>
    <w:p w:rsidR="0036735A" w:rsidRDefault="0036735A" w:rsidP="0036735A">
      <w:pPr>
        <w:pStyle w:val="a7"/>
        <w:ind w:leftChars="0" w:left="0" w:firstLineChars="100" w:firstLine="280"/>
        <w:rPr>
          <w:rFonts w:ascii="標楷體" w:eastAsia="標楷體" w:hAnsi="標楷體"/>
          <w:sz w:val="28"/>
          <w:szCs w:val="28"/>
        </w:rPr>
      </w:pPr>
      <w:r w:rsidRPr="00410766">
        <w:rPr>
          <w:rFonts w:ascii="標楷體" w:eastAsia="標楷體" w:hAnsi="標楷體" w:hint="eastAsia"/>
          <w:sz w:val="28"/>
          <w:szCs w:val="28"/>
        </w:rPr>
        <w:t>法律關係研析:</w:t>
      </w:r>
    </w:p>
    <w:p w:rsidR="0036735A" w:rsidRDefault="0036735A" w:rsidP="0036735A">
      <w:pPr>
        <w:pStyle w:val="a7"/>
        <w:numPr>
          <w:ilvl w:val="0"/>
          <w:numId w:val="7"/>
        </w:numPr>
        <w:ind w:leftChars="0"/>
        <w:rPr>
          <w:rFonts w:ascii="標楷體" w:eastAsia="標楷體" w:hAnsi="標楷體"/>
          <w:sz w:val="28"/>
          <w:szCs w:val="28"/>
        </w:rPr>
      </w:pPr>
      <w:r>
        <w:rPr>
          <w:rFonts w:ascii="標楷體" w:eastAsia="標楷體" w:hAnsi="標楷體" w:hint="eastAsia"/>
          <w:sz w:val="26"/>
          <w:szCs w:val="26"/>
        </w:rPr>
        <w:t>遺產贈與稅法第5條:</w:t>
      </w:r>
    </w:p>
    <w:p w:rsidR="0036735A" w:rsidRPr="0090610F" w:rsidRDefault="0036735A" w:rsidP="0036735A">
      <w:pPr>
        <w:pStyle w:val="a7"/>
        <w:ind w:leftChars="0" w:left="1080"/>
        <w:rPr>
          <w:rFonts w:ascii="標楷體" w:eastAsia="標楷體" w:hAnsi="標楷體"/>
          <w:sz w:val="28"/>
          <w:szCs w:val="28"/>
        </w:rPr>
      </w:pPr>
      <w:r w:rsidRPr="0090610F">
        <w:rPr>
          <w:rFonts w:ascii="標楷體" w:eastAsia="標楷體" w:hAnsi="標楷體" w:hint="eastAsia"/>
          <w:sz w:val="26"/>
          <w:szCs w:val="26"/>
        </w:rPr>
        <w:t>本法稱財產，指動產、不動產及其他一切有財產價值之權利。</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tab/>
        <w:t xml:space="preserve"> </w:t>
      </w:r>
      <w:r w:rsidRPr="0090610F">
        <w:rPr>
          <w:rFonts w:ascii="標楷體" w:eastAsia="標楷體" w:hAnsi="標楷體" w:hint="eastAsia"/>
          <w:sz w:val="26"/>
          <w:szCs w:val="26"/>
        </w:rPr>
        <w:t>財產之移動，具有左列各款情形之一者，以贈與論，依本法規定，</w:t>
      </w:r>
      <w:r>
        <w:rPr>
          <w:rFonts w:ascii="標楷體" w:eastAsia="標楷體" w:hAnsi="標楷體" w:hint="eastAsia"/>
          <w:sz w:val="26"/>
          <w:szCs w:val="26"/>
        </w:rPr>
        <w:tab/>
        <w:t xml:space="preserve"> </w:t>
      </w:r>
      <w:r w:rsidRPr="0090610F">
        <w:rPr>
          <w:rFonts w:ascii="標楷體" w:eastAsia="標楷體" w:hAnsi="標楷體" w:hint="eastAsia"/>
          <w:sz w:val="26"/>
          <w:szCs w:val="26"/>
        </w:rPr>
        <w:t>課徵贈與稅：</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一、在請求權時效內無償免除或承擔債務者，其免除或承擔</w:t>
      </w:r>
      <w:r>
        <w:rPr>
          <w:rFonts w:ascii="標楷體" w:eastAsia="標楷體" w:hAnsi="標楷體" w:hint="eastAsia"/>
          <w:sz w:val="26"/>
          <w:szCs w:val="26"/>
        </w:rPr>
        <w:tab/>
      </w:r>
      <w:r>
        <w:rPr>
          <w:rFonts w:ascii="標楷體" w:eastAsia="標楷體" w:hAnsi="標楷體" w:hint="eastAsia"/>
          <w:sz w:val="26"/>
          <w:szCs w:val="26"/>
        </w:rPr>
        <w:tab/>
        <w:t xml:space="preserve">    </w:t>
      </w:r>
      <w:r w:rsidRPr="0090610F">
        <w:rPr>
          <w:rFonts w:ascii="標楷體" w:eastAsia="標楷體" w:hAnsi="標楷體" w:hint="eastAsia"/>
          <w:sz w:val="26"/>
          <w:szCs w:val="26"/>
        </w:rPr>
        <w:t>之債務。</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二、以顯著不相當之代價，讓與財產、免除或承擔債務者，</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t xml:space="preserve">    </w:t>
      </w:r>
      <w:r w:rsidRPr="0090610F">
        <w:rPr>
          <w:rFonts w:ascii="標楷體" w:eastAsia="標楷體" w:hAnsi="標楷體" w:hint="eastAsia"/>
          <w:sz w:val="26"/>
          <w:szCs w:val="26"/>
        </w:rPr>
        <w:t>其差額部分。</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三、以自己之資金，無償為他人購置財產者，其資金。但該</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t xml:space="preserve">    </w:t>
      </w:r>
      <w:r w:rsidRPr="0090610F">
        <w:rPr>
          <w:rFonts w:ascii="標楷體" w:eastAsia="標楷體" w:hAnsi="標楷體" w:hint="eastAsia"/>
          <w:sz w:val="26"/>
          <w:szCs w:val="26"/>
        </w:rPr>
        <w:t>財產為不動產者，其不動產。</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lastRenderedPageBreak/>
        <w:tab/>
      </w:r>
      <w:r>
        <w:rPr>
          <w:rFonts w:ascii="標楷體" w:eastAsia="標楷體" w:hAnsi="標楷體" w:hint="eastAsia"/>
          <w:sz w:val="26"/>
          <w:szCs w:val="26"/>
        </w:rPr>
        <w:tab/>
      </w:r>
      <w:r w:rsidRPr="0090610F">
        <w:rPr>
          <w:rFonts w:ascii="標楷體" w:eastAsia="標楷體" w:hAnsi="標楷體" w:hint="eastAsia"/>
          <w:sz w:val="26"/>
          <w:szCs w:val="26"/>
        </w:rPr>
        <w:t>四、因顯著不相當之代價，出資為他人購置財產者，其出</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t xml:space="preserve">    </w:t>
      </w:r>
      <w:r w:rsidRPr="0090610F">
        <w:rPr>
          <w:rFonts w:ascii="標楷體" w:eastAsia="標楷體" w:hAnsi="標楷體" w:hint="eastAsia"/>
          <w:sz w:val="26"/>
          <w:szCs w:val="26"/>
        </w:rPr>
        <w:t>資與代價之差額部分。</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五、限制行為能力人或無行為能力人所購置之財產，視為法</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定代理人或監護人之贈與。但能證明支付之款項屬於購買</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人所有者，不在此限。</w:t>
      </w:r>
    </w:p>
    <w:p w:rsidR="0036735A" w:rsidRPr="0090610F" w:rsidRDefault="0036735A" w:rsidP="0036735A">
      <w:pPr>
        <w:pStyle w:val="a7"/>
        <w:rPr>
          <w:rFonts w:ascii="標楷體" w:eastAsia="標楷體" w:hAnsi="標楷體"/>
          <w:sz w:val="26"/>
          <w:szCs w:val="26"/>
        </w:rPr>
      </w:pP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六、二親等以內親屬間財產之買賣。但能提出已支付價款之</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確實證明，且該已支付之價款非由出賣人貸與或提供擔保</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r>
      <w:r w:rsidRPr="0090610F">
        <w:rPr>
          <w:rFonts w:ascii="標楷體" w:eastAsia="標楷體" w:hAnsi="標楷體" w:hint="eastAsia"/>
          <w:sz w:val="26"/>
          <w:szCs w:val="26"/>
        </w:rPr>
        <w:t>向他人借得者，不在此限</w:t>
      </w:r>
    </w:p>
    <w:p w:rsidR="0036735A" w:rsidRDefault="0036735A" w:rsidP="0036735A">
      <w:pPr>
        <w:pStyle w:val="a7"/>
        <w:rPr>
          <w:rFonts w:ascii="標楷體" w:eastAsia="標楷體" w:hAnsi="標楷體"/>
          <w:sz w:val="26"/>
          <w:szCs w:val="26"/>
        </w:rPr>
      </w:pPr>
      <w:r w:rsidRPr="0090610F">
        <w:rPr>
          <w:rFonts w:ascii="標楷體" w:eastAsia="標楷體" w:hAnsi="標楷體" w:hint="eastAsia"/>
          <w:sz w:val="26"/>
          <w:szCs w:val="26"/>
        </w:rPr>
        <w:t xml:space="preserve">    </w:t>
      </w:r>
    </w:p>
    <w:p w:rsidR="0036735A" w:rsidRPr="0090610F" w:rsidRDefault="0036735A" w:rsidP="0036735A">
      <w:pPr>
        <w:pStyle w:val="a7"/>
        <w:numPr>
          <w:ilvl w:val="0"/>
          <w:numId w:val="7"/>
        </w:numPr>
        <w:ind w:leftChars="0"/>
        <w:rPr>
          <w:rFonts w:ascii="標楷體" w:eastAsia="標楷體" w:hAnsi="標楷體"/>
          <w:sz w:val="28"/>
          <w:szCs w:val="28"/>
        </w:rPr>
      </w:pPr>
      <w:r>
        <w:rPr>
          <w:rFonts w:ascii="標楷體" w:eastAsia="標楷體" w:hAnsi="標楷體" w:hint="eastAsia"/>
          <w:sz w:val="26"/>
          <w:szCs w:val="26"/>
        </w:rPr>
        <w:t>遺產贈與稅法第15條:</w:t>
      </w:r>
    </w:p>
    <w:p w:rsidR="0036735A" w:rsidRPr="00896CAB" w:rsidRDefault="0036735A" w:rsidP="0036735A">
      <w:pPr>
        <w:pStyle w:val="HTML"/>
        <w:rPr>
          <w:rFonts w:ascii="標楷體" w:eastAsia="標楷體" w:hAnsi="標楷體" w:cs="Times New Roman"/>
          <w:kern w:val="2"/>
          <w:sz w:val="26"/>
          <w:szCs w:val="26"/>
        </w:rPr>
      </w:pPr>
      <w:r>
        <w:rPr>
          <w:rFonts w:hint="eastAsia"/>
        </w:rPr>
        <w:tab/>
      </w:r>
      <w:r w:rsidRPr="00896CAB">
        <w:rPr>
          <w:rFonts w:ascii="標楷體" w:eastAsia="標楷體" w:hAnsi="標楷體" w:cs="Times New Roman" w:hint="eastAsia"/>
          <w:kern w:val="2"/>
          <w:sz w:val="26"/>
          <w:szCs w:val="26"/>
        </w:rPr>
        <w:t>公司之資金，除有左列各款情形外，不得貸與股東或任何他人：</w:t>
      </w:r>
    </w:p>
    <w:p w:rsidR="0036735A" w:rsidRPr="00896CAB" w:rsidRDefault="0036735A" w:rsidP="0036735A">
      <w:pPr>
        <w:pStyle w:val="HTML"/>
        <w:rPr>
          <w:rFonts w:ascii="標楷體" w:eastAsia="標楷體" w:hAnsi="標楷體" w:cs="Times New Roman"/>
          <w:kern w:val="2"/>
          <w:sz w:val="26"/>
          <w:szCs w:val="26"/>
        </w:rPr>
      </w:pPr>
      <w:r w:rsidRPr="00896CAB">
        <w:rPr>
          <w:rFonts w:ascii="標楷體" w:eastAsia="標楷體" w:hAnsi="標楷體" w:cs="Times New Roman" w:hint="eastAsia"/>
          <w:kern w:val="2"/>
          <w:sz w:val="26"/>
          <w:szCs w:val="26"/>
        </w:rPr>
        <w:tab/>
        <w:t>一、公司間或與行號間</w:t>
      </w:r>
      <w:r w:rsidRPr="00896CAB">
        <w:rPr>
          <w:rFonts w:ascii="標楷體" w:eastAsia="標楷體" w:hAnsi="標楷體" w:cs="Times New Roman" w:hint="eastAsia"/>
          <w:b/>
          <w:kern w:val="2"/>
          <w:sz w:val="26"/>
          <w:szCs w:val="26"/>
        </w:rPr>
        <w:t>有業務往來者</w:t>
      </w:r>
      <w:r w:rsidRPr="00896CAB">
        <w:rPr>
          <w:rFonts w:ascii="標楷體" w:eastAsia="標楷體" w:hAnsi="標楷體" w:cs="Times New Roman" w:hint="eastAsia"/>
          <w:kern w:val="2"/>
          <w:sz w:val="26"/>
          <w:szCs w:val="26"/>
        </w:rPr>
        <w:t>。</w:t>
      </w:r>
    </w:p>
    <w:p w:rsidR="0036735A" w:rsidRPr="00896CAB" w:rsidRDefault="0036735A" w:rsidP="0036735A">
      <w:pPr>
        <w:pStyle w:val="HTML"/>
        <w:rPr>
          <w:rFonts w:ascii="標楷體" w:eastAsia="標楷體" w:hAnsi="標楷體" w:cs="Times New Roman"/>
          <w:kern w:val="2"/>
          <w:sz w:val="26"/>
          <w:szCs w:val="26"/>
        </w:rPr>
      </w:pPr>
      <w:r w:rsidRPr="00896CAB">
        <w:rPr>
          <w:rFonts w:ascii="標楷體" w:eastAsia="標楷體" w:hAnsi="標楷體" w:cs="Times New Roman" w:hint="eastAsia"/>
          <w:kern w:val="2"/>
          <w:sz w:val="26"/>
          <w:szCs w:val="26"/>
        </w:rPr>
        <w:tab/>
        <w:t>二、公司間或與行號間</w:t>
      </w:r>
      <w:r w:rsidRPr="00896CAB">
        <w:rPr>
          <w:rFonts w:ascii="標楷體" w:eastAsia="標楷體" w:hAnsi="標楷體" w:cs="Times New Roman" w:hint="eastAsia"/>
          <w:b/>
          <w:kern w:val="2"/>
          <w:sz w:val="26"/>
          <w:szCs w:val="26"/>
        </w:rPr>
        <w:t>有短期融通資金之必要者</w:t>
      </w:r>
      <w:r w:rsidRPr="00896CAB">
        <w:rPr>
          <w:rFonts w:ascii="標楷體" w:eastAsia="標楷體" w:hAnsi="標楷體" w:cs="Times New Roman" w:hint="eastAsia"/>
          <w:kern w:val="2"/>
          <w:sz w:val="26"/>
          <w:szCs w:val="26"/>
        </w:rPr>
        <w:t>。融資金額不得</w:t>
      </w:r>
      <w:r>
        <w:rPr>
          <w:rFonts w:ascii="標楷體" w:eastAsia="標楷體" w:hAnsi="標楷體" w:cs="Times New Roman" w:hint="eastAsia"/>
          <w:kern w:val="2"/>
          <w:sz w:val="26"/>
          <w:szCs w:val="26"/>
        </w:rPr>
        <w:tab/>
      </w:r>
      <w:r w:rsidRPr="00896CAB">
        <w:rPr>
          <w:rFonts w:ascii="標楷體" w:eastAsia="標楷體" w:hAnsi="標楷體" w:cs="Times New Roman" w:hint="eastAsia"/>
          <w:kern w:val="2"/>
          <w:sz w:val="26"/>
          <w:szCs w:val="26"/>
        </w:rPr>
        <w:t>超過貸</w:t>
      </w:r>
      <w:r w:rsidRPr="00896CAB">
        <w:rPr>
          <w:rFonts w:ascii="標楷體" w:eastAsia="標楷體" w:hAnsi="標楷體" w:cs="Times New Roman" w:hint="eastAsia"/>
          <w:kern w:val="2"/>
          <w:sz w:val="26"/>
          <w:szCs w:val="26"/>
        </w:rPr>
        <w:tab/>
        <w:t>與企業淨值的百分之四十。</w:t>
      </w:r>
    </w:p>
    <w:p w:rsidR="0036735A" w:rsidRDefault="0036735A" w:rsidP="0036735A">
      <w:pPr>
        <w:pStyle w:val="HTML"/>
        <w:rPr>
          <w:rFonts w:ascii="標楷體" w:eastAsia="標楷體" w:hAnsi="標楷體" w:cs="Times New Roman"/>
          <w:kern w:val="2"/>
          <w:sz w:val="26"/>
          <w:szCs w:val="26"/>
        </w:rPr>
      </w:pPr>
      <w:r w:rsidRPr="00896CAB">
        <w:rPr>
          <w:rFonts w:ascii="標楷體" w:eastAsia="標楷體" w:hAnsi="標楷體" w:cs="Times New Roman" w:hint="eastAsia"/>
          <w:kern w:val="2"/>
          <w:sz w:val="26"/>
          <w:szCs w:val="26"/>
        </w:rPr>
        <w:tab/>
        <w:t>公司負責人違反前項規定時，應與借用人連帶負返還責任；如公</w:t>
      </w:r>
      <w:r>
        <w:rPr>
          <w:rFonts w:ascii="標楷體" w:eastAsia="標楷體" w:hAnsi="標楷體" w:cs="Times New Roman" w:hint="eastAsia"/>
          <w:kern w:val="2"/>
          <w:sz w:val="26"/>
          <w:szCs w:val="26"/>
        </w:rPr>
        <w:tab/>
      </w:r>
      <w:r w:rsidRPr="00896CAB">
        <w:rPr>
          <w:rFonts w:ascii="標楷體" w:eastAsia="標楷體" w:hAnsi="標楷體" w:cs="Times New Roman" w:hint="eastAsia"/>
          <w:kern w:val="2"/>
          <w:sz w:val="26"/>
          <w:szCs w:val="26"/>
        </w:rPr>
        <w:t>司受有損害者，亦應由其負損害賠償責任。</w:t>
      </w:r>
    </w:p>
    <w:p w:rsidR="0036735A" w:rsidRDefault="0036735A" w:rsidP="0036735A">
      <w:pPr>
        <w:pStyle w:val="HTML"/>
        <w:rPr>
          <w:rFonts w:ascii="標楷體" w:eastAsia="標楷體" w:hAnsi="標楷體" w:cs="Times New Roman"/>
          <w:kern w:val="2"/>
          <w:sz w:val="26"/>
          <w:szCs w:val="26"/>
        </w:rPr>
      </w:pPr>
    </w:p>
    <w:p w:rsidR="0036735A" w:rsidRPr="0090610F" w:rsidRDefault="0036735A" w:rsidP="0036735A">
      <w:pPr>
        <w:pStyle w:val="a7"/>
        <w:numPr>
          <w:ilvl w:val="0"/>
          <w:numId w:val="7"/>
        </w:numPr>
        <w:ind w:leftChars="0"/>
        <w:rPr>
          <w:rFonts w:ascii="標楷體" w:eastAsia="標楷體" w:hAnsi="標楷體"/>
          <w:sz w:val="28"/>
          <w:szCs w:val="28"/>
        </w:rPr>
      </w:pPr>
      <w:r>
        <w:rPr>
          <w:rFonts w:ascii="標楷體" w:eastAsia="標楷體" w:hAnsi="標楷體" w:hint="eastAsia"/>
          <w:sz w:val="26"/>
          <w:szCs w:val="26"/>
        </w:rPr>
        <w:t>公司員工借支並無違法:</w:t>
      </w:r>
    </w:p>
    <w:p w:rsidR="0036735A" w:rsidRDefault="0036735A" w:rsidP="0036735A">
      <w:pPr>
        <w:pStyle w:val="HTML"/>
        <w:rPr>
          <w:rFonts w:ascii="標楷體" w:eastAsia="標楷體" w:hAnsi="標楷體" w:cs="Times New Roman"/>
          <w:kern w:val="2"/>
          <w:sz w:val="26"/>
          <w:szCs w:val="26"/>
        </w:rPr>
      </w:pPr>
      <w:r>
        <w:rPr>
          <w:rFonts w:hint="eastAsia"/>
        </w:rPr>
        <w:tab/>
      </w:r>
      <w:r>
        <w:rPr>
          <w:rFonts w:ascii="標楷體" w:eastAsia="標楷體" w:hAnsi="標楷體" w:cs="Times New Roman" w:hint="eastAsia"/>
          <w:kern w:val="2"/>
          <w:sz w:val="26"/>
          <w:szCs w:val="26"/>
        </w:rPr>
        <w:t xml:space="preserve"> 查xx貿易股份有限公司僱用人xxx向該公司預支新津，約定就</w:t>
      </w:r>
      <w:r>
        <w:rPr>
          <w:rFonts w:ascii="標楷體" w:eastAsia="標楷體" w:hAnsi="標楷體" w:cs="Times New Roman" w:hint="eastAsia"/>
          <w:kern w:val="2"/>
          <w:sz w:val="26"/>
          <w:szCs w:val="26"/>
        </w:rPr>
        <w:tab/>
        <w:t xml:space="preserve"> </w:t>
      </w:r>
      <w:r>
        <w:rPr>
          <w:rFonts w:ascii="標楷體" w:eastAsia="標楷體" w:hAnsi="標楷體" w:cs="Times New Roman" w:hint="eastAsia"/>
          <w:kern w:val="2"/>
          <w:sz w:val="26"/>
          <w:szCs w:val="26"/>
        </w:rPr>
        <w:tab/>
        <w:t xml:space="preserve"> 僱用人薪津及獎金於存續期限內扣還，非屬一般貸款性質，並不</w:t>
      </w:r>
      <w:r>
        <w:rPr>
          <w:rFonts w:ascii="標楷體" w:eastAsia="標楷體" w:hAnsi="標楷體" w:cs="Times New Roman" w:hint="eastAsia"/>
          <w:kern w:val="2"/>
          <w:sz w:val="26"/>
          <w:szCs w:val="26"/>
        </w:rPr>
        <w:tab/>
        <w:t xml:space="preserve"> 構成違反公司法第15條第2項之規定。(經濟部68年11月17</w:t>
      </w:r>
      <w:r>
        <w:rPr>
          <w:rFonts w:ascii="標楷體" w:eastAsia="標楷體" w:hAnsi="標楷體" w:cs="Times New Roman" w:hint="eastAsia"/>
          <w:kern w:val="2"/>
          <w:sz w:val="26"/>
          <w:szCs w:val="26"/>
        </w:rPr>
        <w:tab/>
        <w:t xml:space="preserve"> </w:t>
      </w:r>
      <w:r>
        <w:rPr>
          <w:rFonts w:ascii="標楷體" w:eastAsia="標楷體" w:hAnsi="標楷體" w:cs="Times New Roman" w:hint="eastAsia"/>
          <w:kern w:val="2"/>
          <w:sz w:val="26"/>
          <w:szCs w:val="26"/>
        </w:rPr>
        <w:tab/>
        <w:t xml:space="preserve"> 日商39514號)</w:t>
      </w:r>
    </w:p>
    <w:p w:rsidR="0036735A" w:rsidRDefault="0036735A" w:rsidP="0036735A">
      <w:pPr>
        <w:pStyle w:val="HTML"/>
        <w:rPr>
          <w:rFonts w:ascii="標楷體" w:eastAsia="標楷體" w:hAnsi="標楷體" w:cs="Times New Roman"/>
          <w:kern w:val="2"/>
          <w:sz w:val="26"/>
          <w:szCs w:val="26"/>
        </w:rPr>
      </w:pPr>
    </w:p>
    <w:p w:rsidR="0036735A" w:rsidRPr="0090610F" w:rsidRDefault="0036735A" w:rsidP="0036735A">
      <w:pPr>
        <w:pStyle w:val="a7"/>
        <w:numPr>
          <w:ilvl w:val="0"/>
          <w:numId w:val="7"/>
        </w:numPr>
        <w:ind w:leftChars="0"/>
        <w:rPr>
          <w:rFonts w:ascii="標楷體" w:eastAsia="標楷體" w:hAnsi="標楷體"/>
          <w:sz w:val="28"/>
          <w:szCs w:val="28"/>
        </w:rPr>
      </w:pPr>
      <w:r w:rsidRPr="00E37966">
        <w:rPr>
          <w:rFonts w:ascii="標楷體" w:eastAsia="標楷體" w:hAnsi="標楷體" w:hint="eastAsia"/>
          <w:sz w:val="26"/>
          <w:szCs w:val="26"/>
        </w:rPr>
        <w:t>資金之貸與</w:t>
      </w:r>
      <w:r>
        <w:rPr>
          <w:rFonts w:ascii="標楷體" w:eastAsia="標楷體" w:hAnsi="標楷體" w:hint="eastAsia"/>
          <w:sz w:val="26"/>
          <w:szCs w:val="26"/>
        </w:rPr>
        <w:t>:</w:t>
      </w:r>
    </w:p>
    <w:p w:rsidR="0036735A" w:rsidRDefault="0036735A" w:rsidP="0036735A">
      <w:pPr>
        <w:rPr>
          <w:rFonts w:ascii="標楷體" w:eastAsia="標楷體" w:hAnsi="標楷體"/>
          <w:sz w:val="26"/>
          <w:szCs w:val="26"/>
        </w:rPr>
      </w:pPr>
      <w:r>
        <w:rPr>
          <w:rFonts w:hint="eastAsia"/>
        </w:rPr>
        <w:tab/>
      </w:r>
      <w:r>
        <w:rPr>
          <w:rFonts w:ascii="標楷體" w:eastAsia="標楷體" w:hAnsi="標楷體" w:hint="eastAsia"/>
          <w:sz w:val="26"/>
          <w:szCs w:val="26"/>
        </w:rPr>
        <w:t xml:space="preserve">    </w:t>
      </w:r>
      <w:r w:rsidRPr="00E37966">
        <w:rPr>
          <w:rFonts w:ascii="標楷體" w:eastAsia="標楷體" w:hAnsi="標楷體" w:hint="eastAsia"/>
          <w:sz w:val="26"/>
          <w:szCs w:val="26"/>
        </w:rPr>
        <w:t>公司法第15條第1項規定：「公司之資金，除有左列各款情形外，</w:t>
      </w:r>
      <w:r>
        <w:rPr>
          <w:rFonts w:ascii="標楷體" w:eastAsia="標楷體" w:hAnsi="標楷體" w:hint="eastAsia"/>
          <w:sz w:val="26"/>
          <w:szCs w:val="26"/>
        </w:rPr>
        <w:tab/>
      </w:r>
      <w:r>
        <w:rPr>
          <w:rFonts w:ascii="標楷體" w:eastAsia="標楷體" w:hAnsi="標楷體" w:hint="eastAsia"/>
          <w:sz w:val="26"/>
          <w:szCs w:val="26"/>
        </w:rPr>
        <w:tab/>
      </w:r>
      <w:r w:rsidRPr="00E37966">
        <w:rPr>
          <w:rFonts w:ascii="標楷體" w:eastAsia="標楷體" w:hAnsi="標楷體" w:hint="eastAsia"/>
          <w:sz w:val="26"/>
          <w:szCs w:val="26"/>
        </w:rPr>
        <w:t>不得貸與股東或任何他人：一、公司間或與行號間有業務往來者。</w:t>
      </w:r>
      <w:r>
        <w:rPr>
          <w:rFonts w:ascii="標楷體" w:eastAsia="標楷體" w:hAnsi="標楷體" w:hint="eastAsia"/>
          <w:sz w:val="26"/>
          <w:szCs w:val="26"/>
        </w:rPr>
        <w:tab/>
      </w:r>
      <w:r>
        <w:rPr>
          <w:rFonts w:ascii="標楷體" w:eastAsia="標楷體" w:hAnsi="標楷體" w:hint="eastAsia"/>
          <w:sz w:val="26"/>
          <w:szCs w:val="26"/>
        </w:rPr>
        <w:tab/>
      </w:r>
      <w:r w:rsidRPr="00E37966">
        <w:rPr>
          <w:rFonts w:ascii="標楷體" w:eastAsia="標楷體" w:hAnsi="標楷體" w:hint="eastAsia"/>
          <w:sz w:val="26"/>
          <w:szCs w:val="26"/>
        </w:rPr>
        <w:t>二、公司間或與行號間有短期融通資金之必要者。融資金額不得</w:t>
      </w:r>
      <w:r>
        <w:rPr>
          <w:rFonts w:ascii="標楷體" w:eastAsia="標楷體" w:hAnsi="標楷體" w:hint="eastAsia"/>
          <w:sz w:val="26"/>
          <w:szCs w:val="26"/>
        </w:rPr>
        <w:tab/>
      </w:r>
      <w:r>
        <w:rPr>
          <w:rFonts w:ascii="標楷體" w:eastAsia="標楷體" w:hAnsi="標楷體" w:hint="eastAsia"/>
          <w:sz w:val="26"/>
          <w:szCs w:val="26"/>
        </w:rPr>
        <w:tab/>
      </w:r>
      <w:r w:rsidRPr="00E37966">
        <w:rPr>
          <w:rFonts w:ascii="標楷體" w:eastAsia="標楷體" w:hAnsi="標楷體" w:hint="eastAsia"/>
          <w:sz w:val="26"/>
          <w:szCs w:val="26"/>
        </w:rPr>
        <w:t>超過貸與企業淨值的百分之四十。」按上開條文係90年11月12</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r>
      <w:r w:rsidRPr="00E37966">
        <w:rPr>
          <w:rFonts w:ascii="標楷體" w:eastAsia="標楷體" w:hAnsi="標楷體" w:hint="eastAsia"/>
          <w:sz w:val="26"/>
          <w:szCs w:val="26"/>
        </w:rPr>
        <w:t>日修正者，其目的在於適度開放資金融通管道，使企業資金取得</w:t>
      </w:r>
      <w:r>
        <w:rPr>
          <w:rFonts w:ascii="標楷體" w:eastAsia="標楷體" w:hAnsi="標楷體" w:hint="eastAsia"/>
          <w:sz w:val="26"/>
          <w:szCs w:val="26"/>
        </w:rPr>
        <w:tab/>
      </w:r>
      <w:r>
        <w:rPr>
          <w:rFonts w:ascii="標楷體" w:eastAsia="標楷體" w:hAnsi="標楷體" w:hint="eastAsia"/>
          <w:sz w:val="26"/>
          <w:szCs w:val="26"/>
        </w:rPr>
        <w:tab/>
      </w:r>
      <w:r w:rsidRPr="00E37966">
        <w:rPr>
          <w:rFonts w:ascii="標楷體" w:eastAsia="標楷體" w:hAnsi="標楷體" w:hint="eastAsia"/>
          <w:sz w:val="26"/>
          <w:szCs w:val="26"/>
        </w:rPr>
        <w:t>更多元化。是以，符合上開規定其中一款之情形，即可為資金之</w:t>
      </w:r>
      <w:r>
        <w:rPr>
          <w:rFonts w:ascii="標楷體" w:eastAsia="標楷體" w:hAnsi="標楷體" w:hint="eastAsia"/>
          <w:sz w:val="26"/>
          <w:szCs w:val="26"/>
        </w:rPr>
        <w:tab/>
      </w:r>
      <w:r>
        <w:rPr>
          <w:rFonts w:ascii="標楷體" w:eastAsia="標楷體" w:hAnsi="標楷體" w:hint="eastAsia"/>
          <w:sz w:val="26"/>
          <w:szCs w:val="26"/>
        </w:rPr>
        <w:tab/>
      </w:r>
      <w:r>
        <w:rPr>
          <w:rFonts w:ascii="標楷體" w:eastAsia="標楷體" w:hAnsi="標楷體" w:hint="eastAsia"/>
          <w:sz w:val="26"/>
          <w:szCs w:val="26"/>
        </w:rPr>
        <w:tab/>
      </w:r>
      <w:r w:rsidRPr="00E37966">
        <w:rPr>
          <w:rFonts w:ascii="標楷體" w:eastAsia="標楷體" w:hAnsi="標楷體" w:hint="eastAsia"/>
          <w:sz w:val="26"/>
          <w:szCs w:val="26"/>
        </w:rPr>
        <w:t>貸與。</w:t>
      </w:r>
      <w:r w:rsidRPr="005B6903">
        <w:rPr>
          <w:rFonts w:ascii="標楷體" w:eastAsia="標楷體" w:hAnsi="標楷體" w:hint="eastAsia"/>
          <w:sz w:val="26"/>
          <w:szCs w:val="26"/>
        </w:rPr>
        <w:t>（94.8.22經商字第09402122420號函）</w:t>
      </w:r>
    </w:p>
    <w:p w:rsidR="0036735A" w:rsidRDefault="0036735A" w:rsidP="0036735A">
      <w:pPr>
        <w:pStyle w:val="HTML"/>
        <w:rPr>
          <w:rFonts w:ascii="標楷體" w:eastAsia="標楷體" w:hAnsi="標楷體" w:cs="Times New Roman"/>
          <w:kern w:val="2"/>
          <w:sz w:val="26"/>
          <w:szCs w:val="26"/>
        </w:rPr>
      </w:pPr>
    </w:p>
    <w:p w:rsidR="0036735A" w:rsidRPr="00F211EB" w:rsidRDefault="0036735A" w:rsidP="0036735A">
      <w:pPr>
        <w:pStyle w:val="a7"/>
        <w:numPr>
          <w:ilvl w:val="0"/>
          <w:numId w:val="7"/>
        </w:numPr>
        <w:ind w:leftChars="0"/>
        <w:rPr>
          <w:rFonts w:ascii="標楷體" w:eastAsia="標楷體" w:hAnsi="標楷體"/>
          <w:sz w:val="28"/>
          <w:szCs w:val="28"/>
        </w:rPr>
      </w:pPr>
      <w:r w:rsidRPr="00F211EB">
        <w:rPr>
          <w:rFonts w:ascii="標楷體" w:eastAsia="標楷體" w:hAnsi="標楷體" w:hint="eastAsia"/>
          <w:sz w:val="26"/>
          <w:szCs w:val="26"/>
        </w:rPr>
        <w:t>所得稅法允許營利事業做捐贈</w:t>
      </w:r>
      <w:r>
        <w:rPr>
          <w:rFonts w:ascii="標楷體" w:eastAsia="標楷體" w:hAnsi="標楷體" w:hint="eastAsia"/>
          <w:sz w:val="26"/>
          <w:szCs w:val="26"/>
        </w:rPr>
        <w:t>(工商時報2009/01/03)</w:t>
      </w:r>
    </w:p>
    <w:p w:rsidR="0036735A" w:rsidRDefault="0036735A" w:rsidP="0036735A">
      <w:pPr>
        <w:pStyle w:val="a7"/>
        <w:ind w:leftChars="0" w:left="1080"/>
        <w:rPr>
          <w:rFonts w:ascii="標楷體" w:eastAsia="標楷體" w:hAnsi="標楷體"/>
          <w:sz w:val="26"/>
          <w:szCs w:val="26"/>
        </w:rPr>
      </w:pPr>
      <w:r w:rsidRPr="00F211EB">
        <w:rPr>
          <w:rFonts w:ascii="標楷體" w:eastAsia="標楷體" w:hAnsi="標楷體"/>
          <w:sz w:val="26"/>
          <w:szCs w:val="26"/>
        </w:rPr>
        <w:t>股份有限公司不得將資產贈與股東或他人。經濟部認為公司法此一規定，疑與所得稅法有關營利事業的捐贈規定有所扞格，函請法務部解釋。法務部指出，二者規範目的不同，沒有扞格的地方。</w:t>
      </w:r>
      <w:r w:rsidRPr="00F211EB">
        <w:rPr>
          <w:rFonts w:ascii="標楷體" w:eastAsia="標楷體" w:hAnsi="標楷體"/>
          <w:sz w:val="26"/>
          <w:szCs w:val="26"/>
        </w:rPr>
        <w:br/>
      </w:r>
      <w:r>
        <w:rPr>
          <w:rFonts w:ascii="標楷體" w:eastAsia="標楷體" w:hAnsi="標楷體" w:hint="eastAsia"/>
          <w:sz w:val="26"/>
          <w:szCs w:val="26"/>
        </w:rPr>
        <w:t>公</w:t>
      </w:r>
      <w:r w:rsidRPr="00F211EB">
        <w:rPr>
          <w:rFonts w:ascii="標楷體" w:eastAsia="標楷體" w:hAnsi="標楷體"/>
          <w:sz w:val="26"/>
          <w:szCs w:val="26"/>
        </w:rPr>
        <w:t>司的資金，不得借貸給公司股東或其他個人。」，這是民國72年時公司法第15條第2項的規定。當時公司法第185條第1項</w:t>
      </w:r>
      <w:r w:rsidRPr="00F211EB">
        <w:rPr>
          <w:rFonts w:ascii="標楷體" w:eastAsia="標楷體" w:hAnsi="標楷體"/>
          <w:sz w:val="26"/>
          <w:szCs w:val="26"/>
        </w:rPr>
        <w:lastRenderedPageBreak/>
        <w:t>第2款還規定，公司讓與全部或主要部分的營業或財產。應有代表已發行股份總數2/3以上股東出席的股東會，以出席股東表決權過半數的同意，才能執行。</w:t>
      </w:r>
    </w:p>
    <w:p w:rsidR="0036735A" w:rsidRPr="00F211EB" w:rsidRDefault="0036735A" w:rsidP="0036735A">
      <w:pPr>
        <w:pStyle w:val="a7"/>
        <w:rPr>
          <w:rFonts w:ascii="標楷體" w:eastAsia="標楷體" w:hAnsi="標楷體"/>
          <w:sz w:val="26"/>
          <w:szCs w:val="26"/>
        </w:rPr>
      </w:pPr>
      <w:r>
        <w:rPr>
          <w:rFonts w:ascii="標楷體" w:eastAsia="標楷體" w:hAnsi="標楷體" w:hint="eastAsia"/>
          <w:sz w:val="26"/>
          <w:szCs w:val="26"/>
        </w:rPr>
        <w:tab/>
        <w:t xml:space="preserve"> </w:t>
      </w:r>
      <w:r w:rsidRPr="00F211EB">
        <w:rPr>
          <w:rFonts w:ascii="標楷體" w:eastAsia="標楷體" w:hAnsi="標楷體" w:hint="eastAsia"/>
          <w:sz w:val="26"/>
          <w:szCs w:val="26"/>
        </w:rPr>
        <w:t>法務部指出，90年間公司法對公司資金的規定已做修正，並作有</w:t>
      </w:r>
      <w:r>
        <w:rPr>
          <w:rFonts w:ascii="標楷體" w:eastAsia="標楷體" w:hAnsi="標楷體" w:hint="eastAsia"/>
          <w:sz w:val="26"/>
          <w:szCs w:val="26"/>
        </w:rPr>
        <w:tab/>
        <w:t xml:space="preserve"> </w:t>
      </w:r>
      <w:r w:rsidRPr="00F211EB">
        <w:rPr>
          <w:rFonts w:ascii="標楷體" w:eastAsia="標楷體" w:hAnsi="標楷體" w:hint="eastAsia"/>
          <w:sz w:val="26"/>
          <w:szCs w:val="26"/>
        </w:rPr>
        <w:t>條件的放寬。新法第15條第1項規定，除有1、公司間或與行號</w:t>
      </w:r>
      <w:r>
        <w:rPr>
          <w:rFonts w:ascii="標楷體" w:eastAsia="標楷體" w:hAnsi="標楷體" w:hint="eastAsia"/>
          <w:sz w:val="26"/>
          <w:szCs w:val="26"/>
        </w:rPr>
        <w:tab/>
        <w:t xml:space="preserve"> </w:t>
      </w:r>
      <w:r w:rsidRPr="00F211EB">
        <w:rPr>
          <w:rFonts w:ascii="標楷體" w:eastAsia="標楷體" w:hAnsi="標楷體" w:hint="eastAsia"/>
          <w:sz w:val="26"/>
          <w:szCs w:val="26"/>
        </w:rPr>
        <w:t>間有業務往來者。2、公司間或與行號間有短期融通資金的必要</w:t>
      </w:r>
      <w:r>
        <w:rPr>
          <w:rFonts w:ascii="標楷體" w:eastAsia="標楷體" w:hAnsi="標楷體" w:hint="eastAsia"/>
          <w:sz w:val="26"/>
          <w:szCs w:val="26"/>
        </w:rPr>
        <w:tab/>
        <w:t xml:space="preserve"> </w:t>
      </w:r>
      <w:r w:rsidRPr="00F211EB">
        <w:rPr>
          <w:rFonts w:ascii="標楷體" w:eastAsia="標楷體" w:hAnsi="標楷體" w:hint="eastAsia"/>
          <w:sz w:val="26"/>
          <w:szCs w:val="26"/>
        </w:rPr>
        <w:t>者。這兩種條件以外，公司的資金，不得貸與股東或任何他人。</w:t>
      </w:r>
      <w:r>
        <w:rPr>
          <w:rFonts w:ascii="標楷體" w:eastAsia="標楷體" w:hAnsi="標楷體" w:hint="eastAsia"/>
          <w:sz w:val="26"/>
          <w:szCs w:val="26"/>
        </w:rPr>
        <w:tab/>
        <w:t xml:space="preserve"> </w:t>
      </w:r>
      <w:r w:rsidRPr="00F211EB">
        <w:rPr>
          <w:rFonts w:ascii="標楷體" w:eastAsia="標楷體" w:hAnsi="標楷體" w:hint="eastAsia"/>
          <w:sz w:val="26"/>
          <w:szCs w:val="26"/>
        </w:rPr>
        <w:t>同法第185條規定，並沒有改變。</w:t>
      </w:r>
    </w:p>
    <w:p w:rsidR="0036735A" w:rsidRPr="00F211EB" w:rsidRDefault="0036735A" w:rsidP="0036735A">
      <w:pPr>
        <w:pStyle w:val="a7"/>
        <w:rPr>
          <w:rFonts w:ascii="標楷體" w:eastAsia="標楷體" w:hAnsi="標楷體"/>
          <w:sz w:val="26"/>
          <w:szCs w:val="26"/>
        </w:rPr>
      </w:pPr>
      <w:r w:rsidRPr="00F211EB">
        <w:rPr>
          <w:rFonts w:ascii="標楷體" w:eastAsia="標楷體" w:hAnsi="標楷體" w:hint="eastAsia"/>
          <w:sz w:val="26"/>
          <w:szCs w:val="26"/>
        </w:rPr>
        <w:t xml:space="preserve">　</w:t>
      </w:r>
      <w:r>
        <w:rPr>
          <w:rFonts w:ascii="標楷體" w:eastAsia="標楷體" w:hAnsi="標楷體" w:hint="eastAsia"/>
          <w:sz w:val="26"/>
          <w:szCs w:val="26"/>
        </w:rPr>
        <w:tab/>
        <w:t xml:space="preserve"> </w:t>
      </w:r>
      <w:r w:rsidRPr="00F211EB">
        <w:rPr>
          <w:rFonts w:ascii="標楷體" w:eastAsia="標楷體" w:hAnsi="標楷體" w:hint="eastAsia"/>
          <w:sz w:val="26"/>
          <w:szCs w:val="26"/>
        </w:rPr>
        <w:t>但經濟部指出，營利事業的捐贈行為，在所得稅法也有規範。所</w:t>
      </w:r>
      <w:r>
        <w:rPr>
          <w:rFonts w:ascii="標楷體" w:eastAsia="標楷體" w:hAnsi="標楷體" w:hint="eastAsia"/>
          <w:sz w:val="26"/>
          <w:szCs w:val="26"/>
        </w:rPr>
        <w:tab/>
        <w:t xml:space="preserve"> </w:t>
      </w:r>
      <w:r w:rsidRPr="00F211EB">
        <w:rPr>
          <w:rFonts w:ascii="標楷體" w:eastAsia="標楷體" w:hAnsi="標楷體" w:hint="eastAsia"/>
          <w:sz w:val="26"/>
          <w:szCs w:val="26"/>
        </w:rPr>
        <w:t>得稅法第36條就明文規定，只有兩種狀況下，公司的捐贈才可</w:t>
      </w:r>
      <w:r>
        <w:rPr>
          <w:rFonts w:ascii="標楷體" w:eastAsia="標楷體" w:hAnsi="標楷體" w:hint="eastAsia"/>
          <w:sz w:val="26"/>
          <w:szCs w:val="26"/>
        </w:rPr>
        <w:tab/>
        <w:t xml:space="preserve"> </w:t>
      </w:r>
      <w:r w:rsidRPr="00F211EB">
        <w:rPr>
          <w:rFonts w:ascii="標楷體" w:eastAsia="標楷體" w:hAnsi="標楷體" w:hint="eastAsia"/>
          <w:sz w:val="26"/>
          <w:szCs w:val="26"/>
        </w:rPr>
        <w:t>以列為當年度費用或損失。</w:t>
      </w:r>
    </w:p>
    <w:p w:rsidR="0036735A" w:rsidRPr="00F211EB" w:rsidRDefault="0036735A" w:rsidP="0036735A">
      <w:pPr>
        <w:pStyle w:val="a7"/>
        <w:rPr>
          <w:rFonts w:ascii="標楷體" w:eastAsia="標楷體" w:hAnsi="標楷體"/>
          <w:sz w:val="26"/>
          <w:szCs w:val="26"/>
        </w:rPr>
      </w:pPr>
      <w:r>
        <w:rPr>
          <w:rFonts w:ascii="標楷體" w:eastAsia="標楷體" w:hAnsi="標楷體" w:hint="eastAsia"/>
          <w:sz w:val="26"/>
          <w:szCs w:val="26"/>
        </w:rPr>
        <w:tab/>
        <w:t xml:space="preserve"> </w:t>
      </w:r>
      <w:r w:rsidRPr="00F211EB">
        <w:rPr>
          <w:rFonts w:ascii="標楷體" w:eastAsia="標楷體" w:hAnsi="標楷體" w:hint="eastAsia"/>
          <w:sz w:val="26"/>
          <w:szCs w:val="26"/>
        </w:rPr>
        <w:t>一是為協助國防建設、慰勞軍隊、對各級政府的捐贈，以及經財</w:t>
      </w:r>
      <w:r>
        <w:rPr>
          <w:rFonts w:ascii="標楷體" w:eastAsia="標楷體" w:hAnsi="標楷體" w:hint="eastAsia"/>
          <w:sz w:val="26"/>
          <w:szCs w:val="26"/>
        </w:rPr>
        <w:tab/>
        <w:t xml:space="preserve"> </w:t>
      </w:r>
      <w:r w:rsidRPr="00F211EB">
        <w:rPr>
          <w:rFonts w:ascii="標楷體" w:eastAsia="標楷體" w:hAnsi="標楷體" w:hint="eastAsia"/>
          <w:sz w:val="26"/>
          <w:szCs w:val="26"/>
        </w:rPr>
        <w:t>政部專案核准的捐贈，不受金額限制。二是凡對教育、文化、公</w:t>
      </w:r>
      <w:r>
        <w:rPr>
          <w:rFonts w:ascii="標楷體" w:eastAsia="標楷體" w:hAnsi="標楷體" w:hint="eastAsia"/>
          <w:sz w:val="26"/>
          <w:szCs w:val="26"/>
        </w:rPr>
        <w:tab/>
        <w:t xml:space="preserve"> </w:t>
      </w:r>
      <w:r w:rsidRPr="00F211EB">
        <w:rPr>
          <w:rFonts w:ascii="標楷體" w:eastAsia="標楷體" w:hAnsi="標楷體" w:hint="eastAsia"/>
          <w:sz w:val="26"/>
          <w:szCs w:val="26"/>
        </w:rPr>
        <w:t>益、慈善機關、團體的捐贈，以不超過所得額10％為限。</w:t>
      </w:r>
    </w:p>
    <w:p w:rsidR="0036735A" w:rsidRPr="00F211EB" w:rsidRDefault="0036735A" w:rsidP="0036735A">
      <w:pPr>
        <w:pStyle w:val="a7"/>
        <w:rPr>
          <w:rFonts w:ascii="標楷體" w:eastAsia="標楷體" w:hAnsi="標楷體"/>
          <w:sz w:val="26"/>
          <w:szCs w:val="26"/>
        </w:rPr>
      </w:pPr>
      <w:r>
        <w:rPr>
          <w:rFonts w:ascii="標楷體" w:eastAsia="標楷體" w:hAnsi="標楷體" w:hint="eastAsia"/>
          <w:sz w:val="26"/>
          <w:szCs w:val="26"/>
        </w:rPr>
        <w:tab/>
        <w:t xml:space="preserve"> </w:t>
      </w:r>
      <w:r w:rsidRPr="00F211EB">
        <w:rPr>
          <w:rFonts w:ascii="標楷體" w:eastAsia="標楷體" w:hAnsi="標楷體" w:hint="eastAsia"/>
          <w:sz w:val="26"/>
          <w:szCs w:val="26"/>
        </w:rPr>
        <w:t>經濟部因而認為，公司法與所得稅法關於公司資金的贈與、借貸</w:t>
      </w:r>
      <w:r>
        <w:rPr>
          <w:rFonts w:ascii="標楷體" w:eastAsia="標楷體" w:hAnsi="標楷體" w:hint="eastAsia"/>
          <w:sz w:val="26"/>
          <w:szCs w:val="26"/>
        </w:rPr>
        <w:tab/>
        <w:t xml:space="preserve"> </w:t>
      </w:r>
      <w:r w:rsidRPr="00F211EB">
        <w:rPr>
          <w:rFonts w:ascii="標楷體" w:eastAsia="標楷體" w:hAnsi="標楷體" w:hint="eastAsia"/>
          <w:sz w:val="26"/>
          <w:szCs w:val="26"/>
        </w:rPr>
        <w:t>的相關規定，似有扞格的地方，造成經濟部對主管公司法上執行</w:t>
      </w:r>
      <w:r>
        <w:rPr>
          <w:rFonts w:ascii="標楷體" w:eastAsia="標楷體" w:hAnsi="標楷體" w:hint="eastAsia"/>
          <w:sz w:val="26"/>
          <w:szCs w:val="26"/>
        </w:rPr>
        <w:tab/>
        <w:t xml:space="preserve"> </w:t>
      </w:r>
      <w:r w:rsidRPr="00F211EB">
        <w:rPr>
          <w:rFonts w:ascii="標楷體" w:eastAsia="標楷體" w:hAnsi="標楷體" w:hint="eastAsia"/>
          <w:sz w:val="26"/>
          <w:szCs w:val="26"/>
        </w:rPr>
        <w:t>的困擾。</w:t>
      </w:r>
    </w:p>
    <w:p w:rsidR="0036735A" w:rsidRPr="00F211EB" w:rsidRDefault="0036735A" w:rsidP="0036735A">
      <w:pPr>
        <w:pStyle w:val="a7"/>
        <w:rPr>
          <w:rFonts w:ascii="標楷體" w:eastAsia="標楷體" w:hAnsi="標楷體"/>
          <w:sz w:val="26"/>
          <w:szCs w:val="26"/>
        </w:rPr>
      </w:pPr>
      <w:r>
        <w:rPr>
          <w:rFonts w:ascii="標楷體" w:eastAsia="標楷體" w:hAnsi="標楷體" w:hint="eastAsia"/>
          <w:sz w:val="26"/>
          <w:szCs w:val="26"/>
        </w:rPr>
        <w:tab/>
        <w:t xml:space="preserve"> </w:t>
      </w:r>
      <w:r w:rsidRPr="00F211EB">
        <w:rPr>
          <w:rFonts w:ascii="標楷體" w:eastAsia="標楷體" w:hAnsi="標楷體" w:hint="eastAsia"/>
          <w:sz w:val="26"/>
          <w:szCs w:val="26"/>
        </w:rPr>
        <w:t>法務部日前函覆經濟部，所得稅法規定營利事業捐贈給予特定機</w:t>
      </w:r>
      <w:r>
        <w:rPr>
          <w:rFonts w:ascii="標楷體" w:eastAsia="標楷體" w:hAnsi="標楷體" w:hint="eastAsia"/>
          <w:sz w:val="26"/>
          <w:szCs w:val="26"/>
        </w:rPr>
        <w:tab/>
        <w:t xml:space="preserve"> </w:t>
      </w:r>
      <w:r w:rsidRPr="00F211EB">
        <w:rPr>
          <w:rFonts w:ascii="標楷體" w:eastAsia="標楷體" w:hAnsi="標楷體" w:hint="eastAsia"/>
          <w:sz w:val="26"/>
          <w:szCs w:val="26"/>
        </w:rPr>
        <w:t>關或團體，得提列當年度費用或損失。這項立法目的，在於獎勵</w:t>
      </w:r>
      <w:r>
        <w:rPr>
          <w:rFonts w:ascii="標楷體" w:eastAsia="標楷體" w:hAnsi="標楷體" w:hint="eastAsia"/>
          <w:sz w:val="26"/>
          <w:szCs w:val="26"/>
        </w:rPr>
        <w:tab/>
        <w:t xml:space="preserve"> </w:t>
      </w:r>
      <w:r w:rsidRPr="00F211EB">
        <w:rPr>
          <w:rFonts w:ascii="標楷體" w:eastAsia="標楷體" w:hAnsi="標楷體" w:hint="eastAsia"/>
          <w:sz w:val="26"/>
          <w:szCs w:val="26"/>
        </w:rPr>
        <w:t>事業回饋社會、捐助公益。至於，公司法限制公司資金不得貸給</w:t>
      </w:r>
      <w:r>
        <w:rPr>
          <w:rFonts w:ascii="標楷體" w:eastAsia="標楷體" w:hAnsi="標楷體" w:hint="eastAsia"/>
          <w:sz w:val="26"/>
          <w:szCs w:val="26"/>
        </w:rPr>
        <w:tab/>
        <w:t xml:space="preserve"> </w:t>
      </w:r>
      <w:r w:rsidRPr="00F211EB">
        <w:rPr>
          <w:rFonts w:ascii="標楷體" w:eastAsia="標楷體" w:hAnsi="標楷體" w:hint="eastAsia"/>
          <w:sz w:val="26"/>
          <w:szCs w:val="26"/>
        </w:rPr>
        <w:t>股東或其他個人，以及將公司資產讓與行為須經公司絕對多數股</w:t>
      </w:r>
      <w:r>
        <w:rPr>
          <w:rFonts w:ascii="標楷體" w:eastAsia="標楷體" w:hAnsi="標楷體" w:hint="eastAsia"/>
          <w:sz w:val="26"/>
          <w:szCs w:val="26"/>
        </w:rPr>
        <w:tab/>
        <w:t xml:space="preserve"> </w:t>
      </w:r>
      <w:r w:rsidRPr="00F211EB">
        <w:rPr>
          <w:rFonts w:ascii="標楷體" w:eastAsia="標楷體" w:hAnsi="標楷體" w:hint="eastAsia"/>
          <w:sz w:val="26"/>
          <w:szCs w:val="26"/>
        </w:rPr>
        <w:t>東同意的相關規定，目的在維繫股東平等與資本充實原則。因此，</w:t>
      </w:r>
      <w:r>
        <w:rPr>
          <w:rFonts w:ascii="標楷體" w:eastAsia="標楷體" w:hAnsi="標楷體" w:hint="eastAsia"/>
          <w:sz w:val="26"/>
          <w:szCs w:val="26"/>
        </w:rPr>
        <w:tab/>
        <w:t xml:space="preserve"> </w:t>
      </w:r>
      <w:r w:rsidRPr="00F211EB">
        <w:rPr>
          <w:rFonts w:ascii="標楷體" w:eastAsia="標楷體" w:hAnsi="標楷體" w:hint="eastAsia"/>
          <w:sz w:val="26"/>
          <w:szCs w:val="26"/>
        </w:rPr>
        <w:t>法務部表示，兩者間的規範目的不同 ，沒有扞格的地方。</w:t>
      </w:r>
    </w:p>
    <w:p w:rsidR="0036735A" w:rsidRDefault="0036735A" w:rsidP="0036735A">
      <w:pPr>
        <w:pStyle w:val="a7"/>
        <w:ind w:leftChars="0" w:left="1080"/>
        <w:rPr>
          <w:rFonts w:ascii="標楷體" w:eastAsia="標楷體" w:hAnsi="標楷體"/>
          <w:sz w:val="26"/>
          <w:szCs w:val="26"/>
        </w:rPr>
      </w:pPr>
      <w:r w:rsidRPr="00F211EB">
        <w:rPr>
          <w:rFonts w:ascii="標楷體" w:eastAsia="標楷體" w:hAnsi="標楷體" w:hint="eastAsia"/>
          <w:sz w:val="26"/>
          <w:szCs w:val="26"/>
        </w:rPr>
        <w:t>不過法務部也指出，公司法並沒有明文規範公司其他捐贈行為，為顧及其適法性，經濟部應該進一步列入公司法修正的政策考量，防杜爭議。</w:t>
      </w:r>
    </w:p>
    <w:p w:rsidR="0036735A" w:rsidRDefault="0036735A" w:rsidP="0036735A">
      <w:pPr>
        <w:pStyle w:val="a7"/>
        <w:ind w:leftChars="0" w:left="1080"/>
        <w:rPr>
          <w:rFonts w:ascii="標楷體" w:eastAsia="標楷體" w:hAnsi="標楷體"/>
          <w:sz w:val="26"/>
          <w:szCs w:val="26"/>
        </w:rPr>
      </w:pPr>
    </w:p>
    <w:p w:rsidR="0036735A" w:rsidRPr="00F211EB" w:rsidRDefault="0036735A" w:rsidP="0036735A">
      <w:pPr>
        <w:pStyle w:val="a7"/>
        <w:numPr>
          <w:ilvl w:val="0"/>
          <w:numId w:val="7"/>
        </w:numPr>
        <w:ind w:leftChars="0"/>
        <w:rPr>
          <w:rFonts w:ascii="標楷體" w:eastAsia="標楷體" w:hAnsi="標楷體"/>
          <w:sz w:val="28"/>
          <w:szCs w:val="28"/>
        </w:rPr>
      </w:pPr>
      <w:r>
        <w:rPr>
          <w:rFonts w:ascii="標楷體" w:eastAsia="標楷體" w:hAnsi="標楷體" w:hint="eastAsia"/>
          <w:sz w:val="26"/>
          <w:szCs w:val="26"/>
        </w:rPr>
        <w:t>遺產及贈與稅法第3條</w:t>
      </w:r>
    </w:p>
    <w:p w:rsidR="0036735A" w:rsidRPr="00A1607E" w:rsidRDefault="0036735A" w:rsidP="0036735A">
      <w:pPr>
        <w:pStyle w:val="a7"/>
        <w:rPr>
          <w:rFonts w:ascii="標楷體" w:eastAsia="標楷體" w:hAnsi="標楷體"/>
          <w:sz w:val="26"/>
          <w:szCs w:val="26"/>
        </w:rPr>
      </w:pPr>
      <w:r>
        <w:rPr>
          <w:rFonts w:ascii="標楷體" w:eastAsia="標楷體" w:hAnsi="標楷體" w:hint="eastAsia"/>
          <w:sz w:val="26"/>
          <w:szCs w:val="26"/>
        </w:rPr>
        <w:tab/>
      </w:r>
      <w:r w:rsidRPr="00A1607E">
        <w:rPr>
          <w:rFonts w:ascii="標楷體" w:eastAsia="標楷體" w:hAnsi="標楷體" w:hint="eastAsia"/>
          <w:sz w:val="26"/>
          <w:szCs w:val="26"/>
        </w:rPr>
        <w:t>凡經常居住中華民國境內之中華民國國民，就其在中華民國境內</w:t>
      </w:r>
      <w:r>
        <w:rPr>
          <w:rFonts w:ascii="標楷體" w:eastAsia="標楷體" w:hAnsi="標楷體" w:hint="eastAsia"/>
          <w:sz w:val="26"/>
          <w:szCs w:val="26"/>
        </w:rPr>
        <w:tab/>
      </w:r>
      <w:r w:rsidRPr="00A1607E">
        <w:rPr>
          <w:rFonts w:ascii="標楷體" w:eastAsia="標楷體" w:hAnsi="標楷體" w:hint="eastAsia"/>
          <w:sz w:val="26"/>
          <w:szCs w:val="26"/>
        </w:rPr>
        <w:t>或境外之財產為贈與者，應依本法規定，課徵贈與稅。</w:t>
      </w:r>
    </w:p>
    <w:p w:rsidR="0036735A" w:rsidRPr="00A1607E" w:rsidRDefault="0036735A" w:rsidP="0036735A">
      <w:pPr>
        <w:pStyle w:val="a7"/>
        <w:rPr>
          <w:rFonts w:ascii="標楷體" w:eastAsia="標楷體" w:hAnsi="標楷體"/>
          <w:sz w:val="26"/>
          <w:szCs w:val="26"/>
        </w:rPr>
      </w:pPr>
      <w:r>
        <w:rPr>
          <w:rFonts w:ascii="標楷體" w:eastAsia="標楷體" w:hAnsi="標楷體" w:hint="eastAsia"/>
          <w:sz w:val="26"/>
          <w:szCs w:val="26"/>
        </w:rPr>
        <w:tab/>
      </w:r>
      <w:r w:rsidRPr="00A1607E">
        <w:rPr>
          <w:rFonts w:ascii="標楷體" w:eastAsia="標楷體" w:hAnsi="標楷體" w:hint="eastAsia"/>
          <w:sz w:val="26"/>
          <w:szCs w:val="26"/>
        </w:rPr>
        <w:t>經常居住中華民國境外之中華民國國民，及非中華民國國民，就</w:t>
      </w:r>
      <w:r>
        <w:rPr>
          <w:rFonts w:ascii="標楷體" w:eastAsia="標楷體" w:hAnsi="標楷體" w:hint="eastAsia"/>
          <w:sz w:val="26"/>
          <w:szCs w:val="26"/>
        </w:rPr>
        <w:tab/>
      </w:r>
      <w:r w:rsidRPr="00A1607E">
        <w:rPr>
          <w:rFonts w:ascii="標楷體" w:eastAsia="標楷體" w:hAnsi="標楷體" w:hint="eastAsia"/>
          <w:sz w:val="26"/>
          <w:szCs w:val="26"/>
        </w:rPr>
        <w:t>其在中華民國境內之財產為贈與者，應依本法規定，課徵贈與稅。</w:t>
      </w:r>
    </w:p>
    <w:p w:rsidR="0036735A" w:rsidRPr="00D06F26" w:rsidRDefault="0036735A" w:rsidP="0036735A">
      <w:pPr>
        <w:pStyle w:val="HTML"/>
        <w:rPr>
          <w:rFonts w:ascii="標楷體" w:eastAsia="標楷體" w:hAnsi="標楷體" w:cs="Times New Roman"/>
          <w:kern w:val="2"/>
          <w:sz w:val="26"/>
          <w:szCs w:val="26"/>
        </w:rPr>
      </w:pPr>
      <w:r w:rsidRPr="00D06F26">
        <w:rPr>
          <w:rFonts w:ascii="標楷體" w:eastAsia="標楷體" w:hAnsi="標楷體" w:cs="Times New Roman" w:hint="eastAsia"/>
          <w:kern w:val="2"/>
          <w:sz w:val="26"/>
          <w:szCs w:val="26"/>
        </w:rPr>
        <w:t>案情分析:</w:t>
      </w:r>
    </w:p>
    <w:p w:rsidR="0036735A" w:rsidRDefault="0036735A" w:rsidP="0036735A">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(一)到底這3,000萬是贈與稅還是個人的其他所得？</w:t>
      </w:r>
    </w:p>
    <w:p w:rsidR="0036735A" w:rsidRDefault="0036735A" w:rsidP="0036735A">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贈與稅的納稅義務人是自然人，因此公司並不是贈與稅的課徵主體，因此阿海的公司幫兒子償還貸款的3,000萬不會有贈與稅的產生，因此是由阿海的兒子去報繳所得稅申報其他所得，繳納</w:t>
      </w:r>
      <w:r>
        <w:rPr>
          <w:rFonts w:ascii="標楷體" w:eastAsia="標楷體" w:hAnsi="標楷體" w:hint="eastAsia"/>
          <w:sz w:val="26"/>
          <w:szCs w:val="26"/>
        </w:rPr>
        <w:lastRenderedPageBreak/>
        <w:t>40%的綜合所得稅。請務必留意錢從公司到個人沒有辦法用10%繳納贈與稅，而是會依照個人的稅率級距繳交綜合所得稅。</w:t>
      </w:r>
    </w:p>
    <w:p w:rsidR="0036735A" w:rsidRDefault="0036735A" w:rsidP="0036735A">
      <w:pPr>
        <w:pStyle w:val="HTML"/>
        <w:tabs>
          <w:tab w:val="clear" w:pos="916"/>
          <w:tab w:val="left" w:pos="400"/>
        </w:tabs>
        <w:ind w:left="1125"/>
        <w:rPr>
          <w:rFonts w:ascii="標楷體" w:eastAsia="標楷體" w:hAnsi="標楷體"/>
          <w:sz w:val="26"/>
          <w:szCs w:val="26"/>
        </w:rPr>
      </w:pPr>
    </w:p>
    <w:p w:rsidR="0036735A" w:rsidRDefault="0036735A" w:rsidP="0036735A">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(二)公司資金貸與他人有條件限制</w:t>
      </w:r>
    </w:p>
    <w:p w:rsidR="0036735A" w:rsidRDefault="0036735A" w:rsidP="0036735A">
      <w:pPr>
        <w:pStyle w:val="HTML"/>
        <w:tabs>
          <w:tab w:val="clear" w:pos="916"/>
          <w:tab w:val="left" w:pos="400"/>
        </w:tabs>
        <w:ind w:left="1125"/>
        <w:rPr>
          <w:rFonts w:ascii="標楷體" w:eastAsia="標楷體" w:hAnsi="標楷體" w:cs="Times New Roman"/>
          <w:kern w:val="2"/>
          <w:sz w:val="26"/>
          <w:szCs w:val="26"/>
        </w:rPr>
      </w:pPr>
      <w:r>
        <w:rPr>
          <w:rFonts w:ascii="標楷體" w:eastAsia="標楷體" w:hAnsi="標楷體" w:hint="eastAsia"/>
          <w:sz w:val="26"/>
          <w:szCs w:val="26"/>
        </w:rPr>
        <w:t>公司法有明文規定除了</w:t>
      </w:r>
      <w:r w:rsidRPr="00896CAB">
        <w:rPr>
          <w:rFonts w:ascii="標楷體" w:eastAsia="標楷體" w:hAnsi="標楷體" w:cs="Times New Roman" w:hint="eastAsia"/>
          <w:b/>
          <w:kern w:val="2"/>
          <w:sz w:val="26"/>
          <w:szCs w:val="26"/>
        </w:rPr>
        <w:t>有業務往來者</w:t>
      </w:r>
      <w:r>
        <w:rPr>
          <w:rFonts w:ascii="標楷體" w:eastAsia="標楷體" w:hAnsi="標楷體" w:cs="Times New Roman" w:hint="eastAsia"/>
          <w:b/>
          <w:kern w:val="2"/>
          <w:sz w:val="26"/>
          <w:szCs w:val="26"/>
        </w:rPr>
        <w:t>、</w:t>
      </w:r>
      <w:r w:rsidRPr="00896CAB">
        <w:rPr>
          <w:rFonts w:ascii="標楷體" w:eastAsia="標楷體" w:hAnsi="標楷體" w:cs="Times New Roman" w:hint="eastAsia"/>
          <w:b/>
          <w:kern w:val="2"/>
          <w:sz w:val="26"/>
          <w:szCs w:val="26"/>
        </w:rPr>
        <w:t>有短期融通資金之必要者</w:t>
      </w:r>
      <w:r>
        <w:rPr>
          <w:rFonts w:ascii="標楷體" w:eastAsia="標楷體" w:hAnsi="標楷體" w:cs="Times New Roman" w:hint="eastAsia"/>
          <w:b/>
          <w:kern w:val="2"/>
          <w:sz w:val="26"/>
          <w:szCs w:val="26"/>
        </w:rPr>
        <w:t>，</w:t>
      </w:r>
      <w:r>
        <w:rPr>
          <w:rFonts w:ascii="標楷體" w:eastAsia="標楷體" w:hAnsi="標楷體" w:cs="Times New Roman" w:hint="eastAsia"/>
          <w:kern w:val="2"/>
          <w:sz w:val="26"/>
          <w:szCs w:val="26"/>
        </w:rPr>
        <w:t>不得貸與他人，並且貸與金額不得超過淨值的40%，因此公司要將資金貸與他人要考慮是否有違反公司法的規定。</w:t>
      </w:r>
    </w:p>
    <w:p w:rsidR="0036735A" w:rsidRDefault="0036735A" w:rsidP="0036735A">
      <w:pPr>
        <w:pStyle w:val="HTML"/>
        <w:tabs>
          <w:tab w:val="clear" w:pos="916"/>
          <w:tab w:val="left" w:pos="400"/>
        </w:tabs>
        <w:ind w:left="1125"/>
        <w:rPr>
          <w:rFonts w:ascii="標楷體" w:eastAsia="標楷體" w:hAnsi="標楷體" w:cs="Times New Roman"/>
          <w:kern w:val="2"/>
          <w:sz w:val="26"/>
          <w:szCs w:val="26"/>
        </w:rPr>
      </w:pPr>
    </w:p>
    <w:p w:rsidR="0036735A" w:rsidRDefault="0036735A" w:rsidP="0036735A">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(三)公司資金能否贈與他人</w:t>
      </w:r>
    </w:p>
    <w:p w:rsidR="0036735A" w:rsidRDefault="0036735A" w:rsidP="0036735A">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目前公司法並無明文規定公司資金不得贈與他人，但是公司是屬於法人，因此法人的資產並不是屬於出資的股東所有，所以公司的錢不能隨意的送給別人，至於所得稅法裡面關於捐贈的的限額這是屬於稅法上是否剔除相關費用的依據，不能拿來當作公司可以把資金隨意贈與他人的法令依據，由於公司必須要有業務上的需要才能將資金貸與他人，更何況是隨意的贈送給他人。</w:t>
      </w:r>
    </w:p>
    <w:p w:rsidR="0036735A" w:rsidRDefault="0036735A" w:rsidP="0036735A">
      <w:pPr>
        <w:pStyle w:val="HTML"/>
        <w:tabs>
          <w:tab w:val="clear" w:pos="916"/>
          <w:tab w:val="left" w:pos="400"/>
        </w:tabs>
        <w:ind w:left="1125"/>
        <w:rPr>
          <w:rFonts w:ascii="標楷體" w:eastAsia="標楷體" w:hAnsi="標楷體"/>
          <w:sz w:val="26"/>
          <w:szCs w:val="26"/>
        </w:rPr>
      </w:pPr>
    </w:p>
    <w:p w:rsidR="0036735A" w:rsidRDefault="0036735A" w:rsidP="0036735A">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(四)阿海如果要主張借貸要符合哪些條件</w:t>
      </w:r>
    </w:p>
    <w:p w:rsidR="0036735A" w:rsidRDefault="0036735A" w:rsidP="001530E4">
      <w:pPr>
        <w:pStyle w:val="HTML"/>
        <w:tabs>
          <w:tab w:val="clear" w:pos="916"/>
          <w:tab w:val="left" w:pos="400"/>
        </w:tabs>
        <w:ind w:left="1125"/>
        <w:rPr>
          <w:rFonts w:ascii="標楷體" w:eastAsia="標楷體" w:hAnsi="標楷體"/>
          <w:sz w:val="26"/>
          <w:szCs w:val="26"/>
        </w:rPr>
      </w:pPr>
      <w:r>
        <w:rPr>
          <w:rFonts w:ascii="標楷體" w:eastAsia="標楷體" w:hAnsi="標楷體" w:hint="eastAsia"/>
          <w:sz w:val="26"/>
          <w:szCs w:val="26"/>
        </w:rPr>
        <w:t>由於稅局啟動專案查核往往是在1-2年以後，針對主張借貸的資金案件，稅局會要求提供這幾年內還款與付利息的證明，一旦沒有相關的證明文件，主張借貸是不會被稅局接受。因此務必留意借貸關係一定要有1.付利息 2.還款 3.相關借款憑證</w:t>
      </w:r>
    </w:p>
    <w:p w:rsidR="001530E4" w:rsidRPr="001530E4" w:rsidRDefault="001530E4" w:rsidP="001530E4">
      <w:pPr>
        <w:pStyle w:val="HTML"/>
        <w:tabs>
          <w:tab w:val="clear" w:pos="916"/>
          <w:tab w:val="left" w:pos="400"/>
        </w:tabs>
        <w:ind w:left="1125"/>
        <w:rPr>
          <w:rFonts w:ascii="標楷體" w:eastAsia="標楷體" w:hAnsi="標楷體"/>
          <w:sz w:val="26"/>
          <w:szCs w:val="26"/>
        </w:rPr>
      </w:pPr>
    </w:p>
    <w:sectPr w:rsidR="001530E4" w:rsidRPr="001530E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B6F" w:rsidRDefault="001D0B6F" w:rsidP="00B7745A">
      <w:r>
        <w:separator/>
      </w:r>
    </w:p>
  </w:endnote>
  <w:endnote w:type="continuationSeparator" w:id="0">
    <w:p w:rsidR="001D0B6F" w:rsidRDefault="001D0B6F" w:rsidP="00B77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B6F" w:rsidRDefault="001D0B6F" w:rsidP="00B7745A">
      <w:r>
        <w:separator/>
      </w:r>
    </w:p>
  </w:footnote>
  <w:footnote w:type="continuationSeparator" w:id="0">
    <w:p w:rsidR="001D0B6F" w:rsidRDefault="001D0B6F" w:rsidP="00B77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0627B"/>
    <w:multiLevelType w:val="hybridMultilevel"/>
    <w:tmpl w:val="0E564470"/>
    <w:lvl w:ilvl="0" w:tplc="D906476C">
      <w:start w:val="1"/>
      <w:numFmt w:val="taiwaneseCountingThousand"/>
      <w:lvlText w:val="(%1)"/>
      <w:lvlJc w:val="left"/>
      <w:pPr>
        <w:ind w:left="1125" w:hanging="72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
    <w:nsid w:val="18B05ED9"/>
    <w:multiLevelType w:val="hybridMultilevel"/>
    <w:tmpl w:val="A6FCBC0C"/>
    <w:lvl w:ilvl="0" w:tplc="D906476C">
      <w:start w:val="1"/>
      <w:numFmt w:val="taiwaneseCountingThousand"/>
      <w:lvlText w:val="(%1)"/>
      <w:lvlJc w:val="left"/>
      <w:pPr>
        <w:ind w:left="1125" w:hanging="72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2">
    <w:nsid w:val="3E155D74"/>
    <w:multiLevelType w:val="hybridMultilevel"/>
    <w:tmpl w:val="ED72CE1E"/>
    <w:lvl w:ilvl="0" w:tplc="4C9675B8">
      <w:start w:val="2"/>
      <w:numFmt w:val="taiwaneseCountingThousand"/>
      <w:lvlText w:val="%1、"/>
      <w:lvlJc w:val="left"/>
      <w:pPr>
        <w:ind w:left="885"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0DA1AEE"/>
    <w:multiLevelType w:val="hybridMultilevel"/>
    <w:tmpl w:val="BB2AB3DA"/>
    <w:lvl w:ilvl="0" w:tplc="93221066">
      <w:start w:val="10"/>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1E33A68"/>
    <w:multiLevelType w:val="hybridMultilevel"/>
    <w:tmpl w:val="667AB860"/>
    <w:lvl w:ilvl="0" w:tplc="447A62A8">
      <w:start w:val="1"/>
      <w:numFmt w:val="taiwaneseCountingThousand"/>
      <w:lvlText w:val="%1、"/>
      <w:lvlJc w:val="left"/>
      <w:pPr>
        <w:ind w:left="96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530A7FF4"/>
    <w:multiLevelType w:val="hybridMultilevel"/>
    <w:tmpl w:val="B74EC014"/>
    <w:lvl w:ilvl="0" w:tplc="1FBE3AA8">
      <w:start w:val="1"/>
      <w:numFmt w:val="taiwaneseCountingThousand"/>
      <w:lvlText w:val="(%1)"/>
      <w:lvlJc w:val="left"/>
      <w:pPr>
        <w:tabs>
          <w:tab w:val="num" w:pos="1080"/>
        </w:tabs>
        <w:ind w:left="1080" w:hanging="600"/>
      </w:pPr>
      <w:rPr>
        <w:rFonts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1D85EA1"/>
    <w:multiLevelType w:val="hybridMultilevel"/>
    <w:tmpl w:val="D4FC7990"/>
    <w:lvl w:ilvl="0" w:tplc="D906476C">
      <w:start w:val="1"/>
      <w:numFmt w:val="taiwaneseCountingThousand"/>
      <w:lvlText w:val="(%1)"/>
      <w:lvlJc w:val="left"/>
      <w:pPr>
        <w:ind w:left="1125" w:hanging="72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num w:numId="1">
    <w:abstractNumId w:val="4"/>
  </w:num>
  <w:num w:numId="2">
    <w:abstractNumId w:val="0"/>
  </w:num>
  <w:num w:numId="3">
    <w:abstractNumId w:val="1"/>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45A"/>
    <w:rsid w:val="001530E4"/>
    <w:rsid w:val="001D0B6F"/>
    <w:rsid w:val="0036735A"/>
    <w:rsid w:val="006B621A"/>
    <w:rsid w:val="008551B8"/>
    <w:rsid w:val="00947691"/>
    <w:rsid w:val="00B7745A"/>
    <w:rsid w:val="00B92A1C"/>
    <w:rsid w:val="00BC1B79"/>
    <w:rsid w:val="00E434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45A"/>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7745A"/>
    <w:pPr>
      <w:tabs>
        <w:tab w:val="center" w:pos="4153"/>
        <w:tab w:val="right" w:pos="8306"/>
      </w:tabs>
      <w:snapToGrid w:val="0"/>
    </w:pPr>
    <w:rPr>
      <w:sz w:val="20"/>
      <w:szCs w:val="20"/>
    </w:rPr>
  </w:style>
  <w:style w:type="character" w:customStyle="1" w:styleId="a4">
    <w:name w:val="頁首 字元"/>
    <w:basedOn w:val="a0"/>
    <w:link w:val="a3"/>
    <w:uiPriority w:val="99"/>
    <w:semiHidden/>
    <w:rsid w:val="00B7745A"/>
    <w:rPr>
      <w:sz w:val="20"/>
      <w:szCs w:val="20"/>
    </w:rPr>
  </w:style>
  <w:style w:type="paragraph" w:styleId="a5">
    <w:name w:val="footer"/>
    <w:basedOn w:val="a"/>
    <w:link w:val="a6"/>
    <w:uiPriority w:val="99"/>
    <w:semiHidden/>
    <w:unhideWhenUsed/>
    <w:rsid w:val="00B7745A"/>
    <w:pPr>
      <w:tabs>
        <w:tab w:val="center" w:pos="4153"/>
        <w:tab w:val="right" w:pos="8306"/>
      </w:tabs>
      <w:snapToGrid w:val="0"/>
    </w:pPr>
    <w:rPr>
      <w:sz w:val="20"/>
      <w:szCs w:val="20"/>
    </w:rPr>
  </w:style>
  <w:style w:type="character" w:customStyle="1" w:styleId="a6">
    <w:name w:val="頁尾 字元"/>
    <w:basedOn w:val="a0"/>
    <w:link w:val="a5"/>
    <w:uiPriority w:val="99"/>
    <w:semiHidden/>
    <w:rsid w:val="00B7745A"/>
    <w:rPr>
      <w:sz w:val="20"/>
      <w:szCs w:val="20"/>
    </w:rPr>
  </w:style>
  <w:style w:type="paragraph" w:styleId="HTML">
    <w:name w:val="HTML Preformatted"/>
    <w:basedOn w:val="a"/>
    <w:link w:val="HTML0"/>
    <w:uiPriority w:val="99"/>
    <w:unhideWhenUsed/>
    <w:rsid w:val="00B774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7745A"/>
    <w:rPr>
      <w:rFonts w:ascii="細明體" w:eastAsia="細明體" w:hAnsi="細明體" w:cs="細明體"/>
      <w:kern w:val="0"/>
      <w:szCs w:val="24"/>
    </w:rPr>
  </w:style>
  <w:style w:type="paragraph" w:styleId="a7">
    <w:name w:val="List Paragraph"/>
    <w:basedOn w:val="a"/>
    <w:uiPriority w:val="99"/>
    <w:qFormat/>
    <w:rsid w:val="00B7745A"/>
    <w:pPr>
      <w:ind w:leftChars="200" w:left="480"/>
    </w:pPr>
  </w:style>
  <w:style w:type="table" w:styleId="a8">
    <w:name w:val="Table Grid"/>
    <w:basedOn w:val="a1"/>
    <w:uiPriority w:val="59"/>
    <w:rsid w:val="00B774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Web">
    <w:name w:val="Normal (Web)"/>
    <w:basedOn w:val="a"/>
    <w:uiPriority w:val="99"/>
    <w:semiHidden/>
    <w:unhideWhenUsed/>
    <w:rsid w:val="00BC1B79"/>
    <w:pPr>
      <w:widowControl/>
      <w:spacing w:before="100" w:beforeAutospacing="1" w:after="100" w:afterAutospacing="1"/>
    </w:pPr>
    <w:rPr>
      <w:rFonts w:ascii="新細明體" w:hAnsi="新細明體" w:cs="新細明體"/>
      <w:kern w:val="0"/>
      <w:szCs w:val="24"/>
    </w:rPr>
  </w:style>
  <w:style w:type="paragraph" w:styleId="a9">
    <w:name w:val="Balloon Text"/>
    <w:basedOn w:val="a"/>
    <w:link w:val="aa"/>
    <w:uiPriority w:val="99"/>
    <w:semiHidden/>
    <w:unhideWhenUsed/>
    <w:rsid w:val="00BC1B7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C1B7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45A"/>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7745A"/>
    <w:pPr>
      <w:tabs>
        <w:tab w:val="center" w:pos="4153"/>
        <w:tab w:val="right" w:pos="8306"/>
      </w:tabs>
      <w:snapToGrid w:val="0"/>
    </w:pPr>
    <w:rPr>
      <w:sz w:val="20"/>
      <w:szCs w:val="20"/>
    </w:rPr>
  </w:style>
  <w:style w:type="character" w:customStyle="1" w:styleId="a4">
    <w:name w:val="頁首 字元"/>
    <w:basedOn w:val="a0"/>
    <w:link w:val="a3"/>
    <w:uiPriority w:val="99"/>
    <w:semiHidden/>
    <w:rsid w:val="00B7745A"/>
    <w:rPr>
      <w:sz w:val="20"/>
      <w:szCs w:val="20"/>
    </w:rPr>
  </w:style>
  <w:style w:type="paragraph" w:styleId="a5">
    <w:name w:val="footer"/>
    <w:basedOn w:val="a"/>
    <w:link w:val="a6"/>
    <w:uiPriority w:val="99"/>
    <w:semiHidden/>
    <w:unhideWhenUsed/>
    <w:rsid w:val="00B7745A"/>
    <w:pPr>
      <w:tabs>
        <w:tab w:val="center" w:pos="4153"/>
        <w:tab w:val="right" w:pos="8306"/>
      </w:tabs>
      <w:snapToGrid w:val="0"/>
    </w:pPr>
    <w:rPr>
      <w:sz w:val="20"/>
      <w:szCs w:val="20"/>
    </w:rPr>
  </w:style>
  <w:style w:type="character" w:customStyle="1" w:styleId="a6">
    <w:name w:val="頁尾 字元"/>
    <w:basedOn w:val="a0"/>
    <w:link w:val="a5"/>
    <w:uiPriority w:val="99"/>
    <w:semiHidden/>
    <w:rsid w:val="00B7745A"/>
    <w:rPr>
      <w:sz w:val="20"/>
      <w:szCs w:val="20"/>
    </w:rPr>
  </w:style>
  <w:style w:type="paragraph" w:styleId="HTML">
    <w:name w:val="HTML Preformatted"/>
    <w:basedOn w:val="a"/>
    <w:link w:val="HTML0"/>
    <w:uiPriority w:val="99"/>
    <w:unhideWhenUsed/>
    <w:rsid w:val="00B774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B7745A"/>
    <w:rPr>
      <w:rFonts w:ascii="細明體" w:eastAsia="細明體" w:hAnsi="細明體" w:cs="細明體"/>
      <w:kern w:val="0"/>
      <w:szCs w:val="24"/>
    </w:rPr>
  </w:style>
  <w:style w:type="paragraph" w:styleId="a7">
    <w:name w:val="List Paragraph"/>
    <w:basedOn w:val="a"/>
    <w:uiPriority w:val="99"/>
    <w:qFormat/>
    <w:rsid w:val="00B7745A"/>
    <w:pPr>
      <w:ind w:leftChars="200" w:left="480"/>
    </w:pPr>
  </w:style>
  <w:style w:type="table" w:styleId="a8">
    <w:name w:val="Table Grid"/>
    <w:basedOn w:val="a1"/>
    <w:uiPriority w:val="59"/>
    <w:rsid w:val="00B774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Web">
    <w:name w:val="Normal (Web)"/>
    <w:basedOn w:val="a"/>
    <w:uiPriority w:val="99"/>
    <w:semiHidden/>
    <w:unhideWhenUsed/>
    <w:rsid w:val="00BC1B79"/>
    <w:pPr>
      <w:widowControl/>
      <w:spacing w:before="100" w:beforeAutospacing="1" w:after="100" w:afterAutospacing="1"/>
    </w:pPr>
    <w:rPr>
      <w:rFonts w:ascii="新細明體" w:hAnsi="新細明體" w:cs="新細明體"/>
      <w:kern w:val="0"/>
      <w:szCs w:val="24"/>
    </w:rPr>
  </w:style>
  <w:style w:type="paragraph" w:styleId="a9">
    <w:name w:val="Balloon Text"/>
    <w:basedOn w:val="a"/>
    <w:link w:val="aa"/>
    <w:uiPriority w:val="99"/>
    <w:semiHidden/>
    <w:unhideWhenUsed/>
    <w:rsid w:val="00BC1B7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C1B7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855</Words>
  <Characters>4877</Characters>
  <Application>Microsoft Office Word</Application>
  <DocSecurity>0</DocSecurity>
  <Lines>40</Lines>
  <Paragraphs>11</Paragraphs>
  <ScaleCrop>false</ScaleCrop>
  <Company/>
  <LinksUpToDate>false</LinksUpToDate>
  <CharactersWithSpaces>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ASV3-571G</dc:creator>
  <cp:lastModifiedBy>user</cp:lastModifiedBy>
  <cp:revision>2</cp:revision>
  <dcterms:created xsi:type="dcterms:W3CDTF">2015-03-03T04:42:00Z</dcterms:created>
  <dcterms:modified xsi:type="dcterms:W3CDTF">2015-03-03T04:42:00Z</dcterms:modified>
</cp:coreProperties>
</file>